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4" w:lineRule="exact"/>
        <w:jc w:val="center"/>
        <w:rPr>
          <w:rFonts w:hint="eastAsia" w:ascii="方正小标宋_GBK" w:hAnsi="方正小标宋_GBK" w:eastAsia="方正小标宋_GBK" w:cs="方正小标宋_GBK"/>
          <w:color w:val="auto"/>
          <w:sz w:val="36"/>
          <w:szCs w:val="36"/>
        </w:rPr>
      </w:pPr>
      <w:r>
        <w:rPr>
          <w:rFonts w:hint="eastAsia" w:ascii="方正小标宋_GBK" w:hAnsi="方正小标宋_GBK" w:eastAsia="方正小标宋_GBK" w:cs="方正小标宋_GBK"/>
          <w:color w:val="auto"/>
          <w:sz w:val="36"/>
          <w:szCs w:val="36"/>
        </w:rPr>
        <w:t>贵州省氮肥产品质量监督抽查实施细则</w:t>
      </w:r>
    </w:p>
    <w:p>
      <w:pPr>
        <w:spacing w:line="440" w:lineRule="exact"/>
        <w:jc w:val="center"/>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0"/>
          <w:szCs w:val="30"/>
        </w:rPr>
        <w:t>（202</w:t>
      </w:r>
      <w:r>
        <w:rPr>
          <w:rFonts w:hint="eastAsia" w:ascii="楷体_GB2312" w:hAnsi="楷体_GB2312" w:eastAsia="楷体_GB2312" w:cs="楷体_GB2312"/>
          <w:color w:val="auto"/>
          <w:sz w:val="30"/>
          <w:szCs w:val="30"/>
          <w:lang w:val="en-US" w:eastAsia="zh-CN"/>
        </w:rPr>
        <w:t>6</w:t>
      </w:r>
      <w:r>
        <w:rPr>
          <w:rFonts w:hint="eastAsia" w:ascii="楷体_GB2312" w:hAnsi="楷体_GB2312" w:eastAsia="楷体_GB2312" w:cs="楷体_GB2312"/>
          <w:color w:val="auto"/>
          <w:sz w:val="30"/>
          <w:szCs w:val="30"/>
        </w:rPr>
        <w:t>年版）</w:t>
      </w:r>
    </w:p>
    <w:p>
      <w:pPr>
        <w:adjustRightInd w:val="0"/>
        <w:snapToGrid w:val="0"/>
        <w:spacing w:line="594" w:lineRule="exact"/>
        <w:jc w:val="center"/>
        <w:rPr>
          <w:rFonts w:eastAsia="方正小标宋简体" w:cs="方正仿宋简体"/>
          <w:color w:val="auto"/>
          <w:sz w:val="32"/>
          <w:szCs w:val="32"/>
        </w:rPr>
      </w:pPr>
    </w:p>
    <w:p>
      <w:pPr>
        <w:snapToGrid w:val="0"/>
        <w:spacing w:line="440" w:lineRule="exact"/>
        <w:rPr>
          <w:rFonts w:hint="default" w:ascii="Times New Roman" w:hAnsi="Times New Roman" w:eastAsia="黑体" w:cs="Times New Roman"/>
          <w:color w:val="auto"/>
          <w:szCs w:val="21"/>
        </w:rPr>
      </w:pPr>
      <w:r>
        <w:rPr>
          <w:rFonts w:hint="default" w:ascii="Times New Roman" w:hAnsi="Times New Roman" w:eastAsia="黑体" w:cs="Times New Roman"/>
          <w:color w:val="auto"/>
          <w:szCs w:val="21"/>
        </w:rPr>
        <w:t>1 抽样方法</w:t>
      </w:r>
    </w:p>
    <w:p>
      <w:pPr>
        <w:snapToGrid w:val="0"/>
        <w:spacing w:line="440" w:lineRule="exact"/>
        <w:ind w:firstLine="420" w:firstLineChars="200"/>
        <w:rPr>
          <w:rFonts w:hint="default" w:ascii="Times New Roman" w:hAnsi="Times New Roman" w:cs="Times New Roman"/>
          <w:color w:val="auto"/>
          <w:szCs w:val="21"/>
        </w:rPr>
      </w:pPr>
      <w:r>
        <w:rPr>
          <w:rFonts w:hint="default" w:ascii="Times New Roman" w:hAnsi="Times New Roman" w:cs="Times New Roman"/>
          <w:color w:val="auto"/>
          <w:szCs w:val="21"/>
        </w:rPr>
        <w:t>以随机抽样的方式在被抽样生产者、销售者的待销产品中抽取。</w:t>
      </w:r>
    </w:p>
    <w:p>
      <w:pPr>
        <w:snapToGrid w:val="0"/>
        <w:spacing w:line="440" w:lineRule="exact"/>
        <w:ind w:firstLine="420" w:firstLineChars="200"/>
        <w:rPr>
          <w:rFonts w:hint="default" w:ascii="Times New Roman" w:hAnsi="Times New Roman" w:cs="Times New Roman"/>
          <w:color w:val="auto"/>
          <w:szCs w:val="21"/>
        </w:rPr>
      </w:pPr>
      <w:r>
        <w:rPr>
          <w:rFonts w:hint="default" w:ascii="Times New Roman" w:hAnsi="Times New Roman" w:cs="Times New Roman"/>
          <w:color w:val="auto"/>
          <w:szCs w:val="21"/>
        </w:rPr>
        <w:t>随机数一般可使用随机数表等方法产生。</w:t>
      </w:r>
    </w:p>
    <w:p>
      <w:pPr>
        <w:snapToGrid w:val="0"/>
        <w:spacing w:line="440" w:lineRule="exact"/>
        <w:ind w:firstLine="420" w:firstLineChars="200"/>
        <w:rPr>
          <w:rFonts w:hint="default" w:ascii="Times New Roman" w:hAnsi="Times New Roman" w:cs="Times New Roman"/>
          <w:color w:val="auto"/>
          <w:szCs w:val="21"/>
        </w:rPr>
      </w:pPr>
      <w:bookmarkStart w:id="0" w:name="_Hlk103259270"/>
      <w:r>
        <w:rPr>
          <w:rFonts w:hint="default" w:ascii="Times New Roman" w:hAnsi="Times New Roman" w:cs="Times New Roman"/>
          <w:color w:val="auto"/>
          <w:szCs w:val="21"/>
        </w:rPr>
        <w:t>将样品缩分至约</w:t>
      </w:r>
      <w:r>
        <w:rPr>
          <w:rFonts w:hint="default" w:ascii="Times New Roman" w:hAnsi="Times New Roman" w:cs="Times New Roman"/>
          <w:color w:val="auto"/>
          <w:szCs w:val="21"/>
          <w:lang w:val="en-US" w:eastAsia="zh-CN"/>
        </w:rPr>
        <w:t>1</w:t>
      </w:r>
      <w:r>
        <w:rPr>
          <w:rFonts w:hint="default" w:ascii="Times New Roman" w:hAnsi="Times New Roman" w:cs="Times New Roman"/>
          <w:color w:val="auto"/>
          <w:szCs w:val="21"/>
        </w:rPr>
        <w:t>kg，再缩分成两份，分装于2个洁净、干燥的塑料瓶中。1瓶作为检验样品，另1瓶作为备用样品。</w:t>
      </w:r>
    </w:p>
    <w:p>
      <w:pPr>
        <w:snapToGrid w:val="0"/>
        <w:spacing w:line="440" w:lineRule="exact"/>
        <w:ind w:firstLine="420" w:firstLineChars="200"/>
        <w:rPr>
          <w:rFonts w:hint="default" w:ascii="Times New Roman" w:hAnsi="Times New Roman" w:cs="Times New Roman"/>
          <w:color w:val="0000FF"/>
          <w:szCs w:val="21"/>
        </w:rPr>
      </w:pPr>
    </w:p>
    <w:bookmarkEnd w:id="0"/>
    <w:p>
      <w:pPr>
        <w:snapToGrid w:val="0"/>
        <w:spacing w:line="440" w:lineRule="exact"/>
        <w:rPr>
          <w:rFonts w:hint="default" w:ascii="Times New Roman" w:hAnsi="Times New Roman" w:eastAsia="黑体" w:cs="Times New Roman"/>
          <w:bCs/>
          <w:color w:val="auto"/>
          <w:szCs w:val="21"/>
        </w:rPr>
      </w:pPr>
      <w:r>
        <w:rPr>
          <w:rFonts w:hint="default" w:ascii="Times New Roman" w:hAnsi="Times New Roman" w:eastAsia="黑体" w:cs="Times New Roman"/>
          <w:color w:val="auto"/>
          <w:szCs w:val="21"/>
        </w:rPr>
        <w:t>2 检验依据</w:t>
      </w:r>
    </w:p>
    <w:p>
      <w:pPr>
        <w:widowControl/>
        <w:jc w:val="center"/>
        <w:rPr>
          <w:rFonts w:hint="default"/>
          <w:color w:val="auto"/>
          <w:kern w:val="0"/>
          <w:szCs w:val="21"/>
          <w:lang w:eastAsia="zh-CN"/>
        </w:rPr>
      </w:pPr>
      <w:r>
        <w:rPr>
          <w:rFonts w:hint="default"/>
          <w:color w:val="auto"/>
          <w:kern w:val="0"/>
          <w:szCs w:val="21"/>
        </w:rPr>
        <w:t>表1</w:t>
      </w:r>
      <w:r>
        <w:rPr>
          <w:rFonts w:hint="default"/>
          <w:color w:val="auto"/>
          <w:kern w:val="0"/>
          <w:szCs w:val="21"/>
          <w:lang w:val="en-US" w:eastAsia="zh-CN"/>
        </w:rPr>
        <w:t xml:space="preserve"> </w:t>
      </w:r>
      <w:r>
        <w:rPr>
          <w:rFonts w:hint="default"/>
          <w:color w:val="auto"/>
          <w:kern w:val="0"/>
          <w:szCs w:val="21"/>
        </w:rPr>
        <w:t>尿素</w:t>
      </w:r>
    </w:p>
    <w:tbl>
      <w:tblPr>
        <w:tblStyle w:val="8"/>
        <w:tblW w:w="8808"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699"/>
        <w:gridCol w:w="1730"/>
        <w:gridCol w:w="3120"/>
        <w:gridCol w:w="3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8" w:hRule="atLeast"/>
          <w:tblHeader/>
        </w:trPr>
        <w:tc>
          <w:tcPr>
            <w:tcW w:w="699" w:type="dxa"/>
            <w:tcBorders>
              <w:tl2br w:val="nil"/>
              <w:tr2bl w:val="nil"/>
            </w:tcBorders>
            <w:shd w:val="clear" w:color="auto" w:fill="FFFFFF"/>
            <w:noWrap/>
            <w:vAlign w:val="center"/>
          </w:tcPr>
          <w:p>
            <w:pPr>
              <w:widowControl/>
              <w:jc w:val="center"/>
              <w:rPr>
                <w:rFonts w:hint="eastAsia" w:ascii="黑体" w:hAnsi="黑体" w:eastAsia="黑体" w:cs="黑体"/>
                <w:color w:val="auto"/>
                <w:kern w:val="0"/>
                <w:szCs w:val="21"/>
              </w:rPr>
            </w:pPr>
            <w:r>
              <w:rPr>
                <w:rFonts w:hint="eastAsia" w:ascii="黑体" w:hAnsi="黑体" w:eastAsia="黑体" w:cs="黑体"/>
                <w:color w:val="auto"/>
                <w:kern w:val="0"/>
                <w:szCs w:val="21"/>
              </w:rPr>
              <w:t>序号</w:t>
            </w:r>
          </w:p>
        </w:tc>
        <w:tc>
          <w:tcPr>
            <w:tcW w:w="4850" w:type="dxa"/>
            <w:gridSpan w:val="2"/>
            <w:tcBorders>
              <w:tl2br w:val="nil"/>
              <w:tr2bl w:val="nil"/>
            </w:tcBorders>
            <w:shd w:val="clear" w:color="auto" w:fill="FFFFFF"/>
            <w:noWrap/>
            <w:vAlign w:val="center"/>
          </w:tcPr>
          <w:p>
            <w:pPr>
              <w:widowControl/>
              <w:jc w:val="center"/>
              <w:rPr>
                <w:rFonts w:hint="eastAsia" w:ascii="黑体" w:hAnsi="黑体" w:eastAsia="黑体" w:cs="黑体"/>
                <w:color w:val="auto"/>
                <w:kern w:val="0"/>
                <w:szCs w:val="21"/>
              </w:rPr>
            </w:pPr>
            <w:r>
              <w:rPr>
                <w:rFonts w:hint="eastAsia" w:ascii="黑体" w:hAnsi="黑体" w:eastAsia="黑体" w:cs="黑体"/>
                <w:color w:val="auto"/>
                <w:kern w:val="0"/>
                <w:szCs w:val="21"/>
              </w:rPr>
              <w:t>检验项目</w:t>
            </w:r>
          </w:p>
        </w:tc>
        <w:tc>
          <w:tcPr>
            <w:tcW w:w="3259" w:type="dxa"/>
            <w:tcBorders>
              <w:tl2br w:val="nil"/>
              <w:tr2bl w:val="nil"/>
            </w:tcBorders>
            <w:shd w:val="clear" w:color="auto" w:fill="FFFFFF"/>
            <w:vAlign w:val="center"/>
          </w:tcPr>
          <w:p>
            <w:pPr>
              <w:widowControl/>
              <w:jc w:val="center"/>
              <w:rPr>
                <w:rFonts w:hint="eastAsia" w:ascii="黑体" w:hAnsi="黑体" w:eastAsia="黑体" w:cs="黑体"/>
                <w:color w:val="auto"/>
                <w:kern w:val="0"/>
                <w:szCs w:val="21"/>
              </w:rPr>
            </w:pPr>
            <w:r>
              <w:rPr>
                <w:rFonts w:hint="eastAsia" w:ascii="黑体" w:hAnsi="黑体" w:eastAsia="黑体" w:cs="黑体"/>
                <w:color w:val="auto"/>
                <w:kern w:val="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699" w:type="dxa"/>
            <w:tcBorders>
              <w:tl2br w:val="nil"/>
              <w:tr2bl w:val="nil"/>
            </w:tcBorders>
            <w:shd w:val="clear" w:color="auto" w:fill="FFFFFF"/>
            <w:noWrap/>
            <w:vAlign w:val="center"/>
          </w:tcPr>
          <w:p>
            <w:pPr>
              <w:pStyle w:val="17"/>
              <w:widowControl/>
              <w:numPr>
                <w:ilvl w:val="0"/>
                <w:numId w:val="1"/>
              </w:numPr>
              <w:ind w:firstLineChars="0"/>
              <w:jc w:val="center"/>
              <w:rPr>
                <w:rFonts w:ascii="Times New Roman" w:hAnsi="Times New Roman" w:eastAsia="宋体" w:cs="Times New Roman"/>
                <w:color w:val="auto"/>
                <w:kern w:val="2"/>
                <w:sz w:val="21"/>
                <w:szCs w:val="21"/>
                <w:lang w:val="en-US" w:eastAsia="zh-CN" w:bidi="ar-SA"/>
              </w:rPr>
            </w:pPr>
          </w:p>
        </w:tc>
        <w:tc>
          <w:tcPr>
            <w:tcW w:w="4850" w:type="dxa"/>
            <w:gridSpan w:val="2"/>
            <w:tcBorders>
              <w:tl2br w:val="nil"/>
              <w:tr2bl w:val="nil"/>
            </w:tcBorders>
            <w:shd w:val="clear" w:color="auto" w:fill="FFFFFF"/>
            <w:noWrap/>
            <w:vAlign w:val="center"/>
          </w:tcPr>
          <w:p>
            <w:pPr>
              <w:widowControl/>
              <w:jc w:val="center"/>
              <w:rPr>
                <w:color w:val="auto"/>
                <w:kern w:val="0"/>
                <w:szCs w:val="21"/>
              </w:rPr>
            </w:pPr>
            <w:r>
              <w:rPr>
                <w:color w:val="auto"/>
                <w:kern w:val="0"/>
                <w:szCs w:val="21"/>
              </w:rPr>
              <w:t>总氮</w:t>
            </w:r>
            <w:r>
              <w:rPr>
                <w:rFonts w:hint="eastAsia"/>
                <w:color w:val="auto"/>
                <w:kern w:val="0"/>
                <w:szCs w:val="21"/>
              </w:rPr>
              <w:t>(</w:t>
            </w:r>
            <w:r>
              <w:rPr>
                <w:color w:val="auto"/>
                <w:kern w:val="0"/>
                <w:szCs w:val="21"/>
              </w:rPr>
              <w:t>N)</w:t>
            </w:r>
            <w:r>
              <w:rPr>
                <w:rFonts w:hint="eastAsia"/>
                <w:color w:val="auto"/>
                <w:kern w:val="0"/>
                <w:szCs w:val="21"/>
              </w:rPr>
              <w:t>的质量分数</w:t>
            </w:r>
          </w:p>
        </w:tc>
        <w:tc>
          <w:tcPr>
            <w:tcW w:w="3259" w:type="dxa"/>
            <w:tcBorders>
              <w:tl2br w:val="nil"/>
              <w:tr2bl w:val="nil"/>
            </w:tcBorders>
            <w:shd w:val="clear" w:color="auto" w:fill="FFFFFF"/>
            <w:vAlign w:val="center"/>
          </w:tcPr>
          <w:p>
            <w:pPr>
              <w:snapToGrid w:val="0"/>
              <w:jc w:val="center"/>
              <w:rPr>
                <w:rFonts w:ascii="Times New Roman" w:hAnsi="Times New Roman" w:eastAsia="宋体"/>
                <w:color w:val="auto"/>
                <w:szCs w:val="21"/>
              </w:rPr>
            </w:pPr>
            <w:r>
              <w:rPr>
                <w:rFonts w:ascii="Times New Roman" w:hAnsi="Times New Roman" w:eastAsia="宋体"/>
                <w:color w:val="auto"/>
                <w:szCs w:val="21"/>
              </w:rPr>
              <w:t>GB/T 2441.1-2008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PrEx>
        <w:trPr>
          <w:trHeight w:val="454" w:hRule="atLeast"/>
        </w:trPr>
        <w:tc>
          <w:tcPr>
            <w:tcW w:w="699" w:type="dxa"/>
            <w:tcBorders>
              <w:tl2br w:val="nil"/>
              <w:tr2bl w:val="nil"/>
            </w:tcBorders>
            <w:shd w:val="clear" w:color="auto" w:fill="FFFFFF"/>
            <w:noWrap/>
            <w:vAlign w:val="center"/>
          </w:tcPr>
          <w:p>
            <w:pPr>
              <w:pStyle w:val="17"/>
              <w:widowControl/>
              <w:numPr>
                <w:ilvl w:val="0"/>
                <w:numId w:val="1"/>
              </w:numPr>
              <w:ind w:firstLineChars="0"/>
              <w:jc w:val="center"/>
              <w:rPr>
                <w:rFonts w:ascii="Times New Roman" w:hAnsi="Times New Roman" w:eastAsia="宋体" w:cs="Times New Roman"/>
                <w:color w:val="auto"/>
                <w:kern w:val="2"/>
                <w:sz w:val="21"/>
                <w:szCs w:val="21"/>
                <w:lang w:val="en-US" w:eastAsia="zh-CN" w:bidi="ar-SA"/>
              </w:rPr>
            </w:pPr>
          </w:p>
        </w:tc>
        <w:tc>
          <w:tcPr>
            <w:tcW w:w="4850" w:type="dxa"/>
            <w:gridSpan w:val="2"/>
            <w:tcBorders>
              <w:tl2br w:val="nil"/>
              <w:tr2bl w:val="nil"/>
            </w:tcBorders>
            <w:shd w:val="clear" w:color="auto" w:fill="FFFFFF"/>
            <w:noWrap/>
            <w:vAlign w:val="center"/>
          </w:tcPr>
          <w:p>
            <w:pPr>
              <w:widowControl/>
              <w:jc w:val="center"/>
              <w:rPr>
                <w:color w:val="auto"/>
                <w:kern w:val="0"/>
                <w:szCs w:val="21"/>
              </w:rPr>
            </w:pPr>
            <w:r>
              <w:rPr>
                <w:color w:val="auto"/>
                <w:kern w:val="0"/>
                <w:szCs w:val="21"/>
              </w:rPr>
              <w:t>缩二脲</w:t>
            </w:r>
            <w:r>
              <w:rPr>
                <w:rFonts w:hint="eastAsia"/>
                <w:color w:val="auto"/>
                <w:kern w:val="0"/>
                <w:szCs w:val="21"/>
              </w:rPr>
              <w:t>的质量分数</w:t>
            </w:r>
          </w:p>
        </w:tc>
        <w:tc>
          <w:tcPr>
            <w:tcW w:w="3259" w:type="dxa"/>
            <w:tcBorders>
              <w:tl2br w:val="nil"/>
              <w:tr2bl w:val="nil"/>
            </w:tcBorders>
            <w:shd w:val="clear" w:color="auto" w:fill="FFFFFF"/>
            <w:vAlign w:val="center"/>
          </w:tcPr>
          <w:p>
            <w:pPr>
              <w:snapToGrid w:val="0"/>
              <w:jc w:val="center"/>
              <w:rPr>
                <w:rFonts w:ascii="Times New Roman" w:hAnsi="Times New Roman" w:eastAsia="宋体"/>
                <w:color w:val="auto"/>
                <w:szCs w:val="21"/>
              </w:rPr>
            </w:pPr>
            <w:r>
              <w:rPr>
                <w:rFonts w:ascii="Times New Roman" w:hAnsi="Times New Roman" w:eastAsia="宋体"/>
                <w:color w:val="auto"/>
                <w:szCs w:val="21"/>
              </w:rPr>
              <w:t>GB/T 2441.2-2010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PrEx>
        <w:trPr>
          <w:trHeight w:val="454" w:hRule="atLeast"/>
        </w:trPr>
        <w:tc>
          <w:tcPr>
            <w:tcW w:w="699" w:type="dxa"/>
            <w:tcBorders>
              <w:tl2br w:val="nil"/>
              <w:tr2bl w:val="nil"/>
            </w:tcBorders>
            <w:shd w:val="clear" w:color="auto" w:fill="FFFFFF"/>
            <w:noWrap/>
            <w:vAlign w:val="center"/>
          </w:tcPr>
          <w:p>
            <w:pPr>
              <w:pStyle w:val="17"/>
              <w:widowControl/>
              <w:numPr>
                <w:ilvl w:val="0"/>
                <w:numId w:val="1"/>
              </w:numPr>
              <w:ind w:firstLineChars="0"/>
              <w:jc w:val="center"/>
              <w:rPr>
                <w:rFonts w:ascii="Times New Roman" w:hAnsi="Times New Roman" w:eastAsia="宋体" w:cs="Times New Roman"/>
                <w:color w:val="auto"/>
                <w:kern w:val="2"/>
                <w:sz w:val="21"/>
                <w:szCs w:val="21"/>
                <w:lang w:val="en-US" w:eastAsia="zh-CN" w:bidi="ar-SA"/>
              </w:rPr>
            </w:pPr>
          </w:p>
        </w:tc>
        <w:tc>
          <w:tcPr>
            <w:tcW w:w="4850" w:type="dxa"/>
            <w:gridSpan w:val="2"/>
            <w:tcBorders>
              <w:tl2br w:val="nil"/>
              <w:tr2bl w:val="nil"/>
            </w:tcBorders>
            <w:shd w:val="clear" w:color="auto" w:fill="FFFFFF"/>
            <w:noWrap/>
            <w:vAlign w:val="center"/>
          </w:tcPr>
          <w:p>
            <w:pPr>
              <w:widowControl/>
              <w:spacing w:after="0" w:line="300" w:lineRule="exact"/>
              <w:jc w:val="center"/>
              <w:rPr>
                <w:color w:val="auto"/>
                <w:kern w:val="0"/>
                <w:szCs w:val="21"/>
              </w:rPr>
            </w:pPr>
            <w:r>
              <w:rPr>
                <w:color w:val="auto"/>
                <w:kern w:val="0"/>
                <w:szCs w:val="21"/>
              </w:rPr>
              <w:t>亚甲基二脲（以HCHO计）的质量分数</w:t>
            </w:r>
          </w:p>
        </w:tc>
        <w:tc>
          <w:tcPr>
            <w:tcW w:w="3259" w:type="dxa"/>
            <w:tcBorders>
              <w:tl2br w:val="nil"/>
              <w:tr2bl w:val="nil"/>
            </w:tcBorders>
            <w:shd w:val="clear" w:color="auto" w:fill="FFFFFF"/>
            <w:vAlign w:val="center"/>
          </w:tcPr>
          <w:p>
            <w:pPr>
              <w:snapToGrid w:val="0"/>
              <w:jc w:val="center"/>
              <w:rPr>
                <w:rFonts w:ascii="Times New Roman" w:hAnsi="Times New Roman" w:eastAsia="宋体"/>
                <w:color w:val="auto"/>
                <w:szCs w:val="21"/>
              </w:rPr>
            </w:pPr>
            <w:r>
              <w:rPr>
                <w:rFonts w:ascii="Times New Roman" w:hAnsi="Times New Roman" w:eastAsia="宋体"/>
                <w:color w:val="auto"/>
                <w:szCs w:val="21"/>
              </w:rPr>
              <w:t>GB/T 2441.9—2010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PrEx>
        <w:trPr>
          <w:trHeight w:val="340" w:hRule="atLeast"/>
        </w:trPr>
        <w:tc>
          <w:tcPr>
            <w:tcW w:w="699" w:type="dxa"/>
            <w:vMerge w:val="restart"/>
            <w:tcBorders>
              <w:tl2br w:val="nil"/>
              <w:tr2bl w:val="nil"/>
            </w:tcBorders>
            <w:shd w:val="clear" w:color="auto" w:fill="FFFFFF"/>
            <w:noWrap/>
            <w:vAlign w:val="center"/>
          </w:tcPr>
          <w:p>
            <w:pPr>
              <w:pStyle w:val="17"/>
              <w:widowControl/>
              <w:numPr>
                <w:ilvl w:val="0"/>
                <w:numId w:val="1"/>
              </w:numPr>
              <w:ind w:firstLineChars="0"/>
              <w:jc w:val="center"/>
              <w:rPr>
                <w:rFonts w:ascii="Times New Roman" w:hAnsi="Times New Roman" w:eastAsia="宋体" w:cs="Times New Roman"/>
                <w:color w:val="auto"/>
                <w:kern w:val="2"/>
                <w:sz w:val="21"/>
                <w:szCs w:val="21"/>
                <w:lang w:val="en-US" w:eastAsia="zh-CN" w:bidi="ar-SA"/>
              </w:rPr>
            </w:pPr>
          </w:p>
        </w:tc>
        <w:tc>
          <w:tcPr>
            <w:tcW w:w="1730" w:type="dxa"/>
            <w:vMerge w:val="restart"/>
            <w:tcBorders>
              <w:tl2br w:val="nil"/>
              <w:tr2bl w:val="nil"/>
            </w:tcBorders>
            <w:shd w:val="clear" w:color="auto" w:fill="FFFFFF"/>
            <w:noWrap/>
            <w:vAlign w:val="center"/>
          </w:tcPr>
          <w:p>
            <w:pPr>
              <w:widowControl/>
              <w:jc w:val="center"/>
              <w:rPr>
                <w:rFonts w:hint="eastAsia" w:eastAsia="宋体"/>
                <w:color w:val="auto"/>
                <w:kern w:val="0"/>
                <w:szCs w:val="21"/>
                <w:lang w:eastAsia="zh-CN"/>
              </w:rPr>
            </w:pPr>
            <w:r>
              <w:rPr>
                <w:color w:val="auto"/>
                <w:kern w:val="0"/>
                <w:szCs w:val="21"/>
              </w:rPr>
              <w:t>粒度</w:t>
            </w:r>
            <w:r>
              <w:rPr>
                <w:rFonts w:hint="eastAsia"/>
                <w:color w:val="auto"/>
                <w:kern w:val="0"/>
                <w:szCs w:val="21"/>
                <w:vertAlign w:val="superscript"/>
                <w:lang w:val="en-US" w:eastAsia="zh-CN"/>
              </w:rPr>
              <w:t>a</w:t>
            </w:r>
          </w:p>
        </w:tc>
        <w:tc>
          <w:tcPr>
            <w:tcW w:w="3120" w:type="dxa"/>
            <w:tcBorders>
              <w:tl2br w:val="nil"/>
              <w:tr2bl w:val="nil"/>
            </w:tcBorders>
            <w:shd w:val="clear" w:color="auto" w:fill="FFFFFF"/>
            <w:vAlign w:val="center"/>
          </w:tcPr>
          <w:p>
            <w:pPr>
              <w:widowControl/>
              <w:jc w:val="center"/>
              <w:rPr>
                <w:color w:val="auto"/>
                <w:kern w:val="0"/>
                <w:szCs w:val="21"/>
              </w:rPr>
            </w:pPr>
            <w:r>
              <w:rPr>
                <w:rFonts w:hint="eastAsia"/>
                <w:color w:val="auto"/>
                <w:kern w:val="0"/>
                <w:szCs w:val="21"/>
              </w:rPr>
              <w:t>d</w:t>
            </w:r>
            <w:r>
              <w:rPr>
                <w:color w:val="auto"/>
                <w:kern w:val="0"/>
                <w:szCs w:val="21"/>
              </w:rPr>
              <w:t xml:space="preserve"> 0.85</w:t>
            </w:r>
            <w:r>
              <w:rPr>
                <w:rFonts w:hint="eastAsia"/>
                <w:color w:val="auto"/>
                <w:kern w:val="0"/>
                <w:szCs w:val="21"/>
              </w:rPr>
              <w:t>mm</w:t>
            </w:r>
            <w:r>
              <w:rPr>
                <w:color w:val="auto"/>
                <w:kern w:val="0"/>
                <w:szCs w:val="21"/>
              </w:rPr>
              <w:t>~2.80</w:t>
            </w:r>
            <w:r>
              <w:rPr>
                <w:rFonts w:hint="eastAsia"/>
                <w:color w:val="auto"/>
                <w:kern w:val="0"/>
                <w:szCs w:val="21"/>
              </w:rPr>
              <w:t>mm</w:t>
            </w:r>
          </w:p>
        </w:tc>
        <w:tc>
          <w:tcPr>
            <w:tcW w:w="3259" w:type="dxa"/>
            <w:vMerge w:val="restart"/>
            <w:tcBorders>
              <w:tl2br w:val="nil"/>
              <w:tr2bl w:val="nil"/>
            </w:tcBorders>
            <w:shd w:val="clear" w:color="auto" w:fill="FFFFFF"/>
            <w:vAlign w:val="center"/>
          </w:tcPr>
          <w:p>
            <w:pPr>
              <w:snapToGrid w:val="0"/>
              <w:jc w:val="center"/>
              <w:rPr>
                <w:rFonts w:ascii="Times New Roman" w:hAnsi="Times New Roman" w:eastAsia="宋体"/>
                <w:color w:val="auto"/>
                <w:szCs w:val="21"/>
              </w:rPr>
            </w:pPr>
            <w:r>
              <w:rPr>
                <w:rFonts w:ascii="Times New Roman" w:hAnsi="Times New Roman" w:eastAsia="宋体"/>
                <w:color w:val="auto"/>
                <w:szCs w:val="21"/>
              </w:rPr>
              <w:t>GB/T 2441.7-2010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PrEx>
        <w:trPr>
          <w:trHeight w:val="340" w:hRule="atLeast"/>
        </w:trPr>
        <w:tc>
          <w:tcPr>
            <w:tcW w:w="699" w:type="dxa"/>
            <w:vMerge w:val="continue"/>
            <w:tcBorders>
              <w:tl2br w:val="nil"/>
              <w:tr2bl w:val="nil"/>
            </w:tcBorders>
            <w:shd w:val="clear" w:color="auto" w:fill="FFFFFF"/>
            <w:noWrap/>
            <w:vAlign w:val="center"/>
          </w:tcPr>
          <w:p>
            <w:pPr>
              <w:pStyle w:val="17"/>
              <w:widowControl/>
              <w:numPr>
                <w:ilvl w:val="0"/>
                <w:numId w:val="1"/>
              </w:numPr>
              <w:ind w:firstLineChars="0"/>
              <w:jc w:val="center"/>
              <w:rPr>
                <w:rFonts w:ascii="Times New Roman" w:hAnsi="Times New Roman" w:eastAsia="宋体" w:cs="Times New Roman"/>
                <w:color w:val="auto"/>
                <w:kern w:val="2"/>
                <w:sz w:val="21"/>
                <w:szCs w:val="21"/>
                <w:lang w:val="en-US" w:eastAsia="zh-CN" w:bidi="ar-SA"/>
              </w:rPr>
            </w:pPr>
          </w:p>
        </w:tc>
        <w:tc>
          <w:tcPr>
            <w:tcW w:w="1730" w:type="dxa"/>
            <w:vMerge w:val="continue"/>
            <w:tcBorders>
              <w:tl2br w:val="nil"/>
              <w:tr2bl w:val="nil"/>
            </w:tcBorders>
            <w:shd w:val="clear" w:color="auto" w:fill="FFFFFF"/>
            <w:noWrap/>
            <w:vAlign w:val="center"/>
          </w:tcPr>
          <w:p>
            <w:pPr>
              <w:widowControl/>
              <w:jc w:val="center"/>
              <w:rPr>
                <w:color w:val="auto"/>
                <w:kern w:val="0"/>
                <w:szCs w:val="21"/>
              </w:rPr>
            </w:pPr>
          </w:p>
        </w:tc>
        <w:tc>
          <w:tcPr>
            <w:tcW w:w="3120" w:type="dxa"/>
            <w:tcBorders>
              <w:tl2br w:val="nil"/>
              <w:tr2bl w:val="nil"/>
            </w:tcBorders>
            <w:shd w:val="clear" w:color="auto" w:fill="FFFFFF"/>
            <w:vAlign w:val="center"/>
          </w:tcPr>
          <w:p>
            <w:pPr>
              <w:widowControl/>
              <w:jc w:val="center"/>
              <w:rPr>
                <w:color w:val="auto"/>
                <w:kern w:val="0"/>
                <w:szCs w:val="21"/>
              </w:rPr>
            </w:pPr>
            <w:r>
              <w:rPr>
                <w:rFonts w:hint="eastAsia"/>
                <w:color w:val="auto"/>
                <w:kern w:val="0"/>
                <w:szCs w:val="21"/>
              </w:rPr>
              <w:t>d</w:t>
            </w:r>
            <w:r>
              <w:rPr>
                <w:color w:val="auto"/>
                <w:kern w:val="0"/>
                <w:szCs w:val="21"/>
              </w:rPr>
              <w:t xml:space="preserve"> 1.18</w:t>
            </w:r>
            <w:r>
              <w:rPr>
                <w:rFonts w:hint="eastAsia"/>
                <w:color w:val="auto"/>
                <w:kern w:val="0"/>
                <w:szCs w:val="21"/>
              </w:rPr>
              <w:t>mm</w:t>
            </w:r>
            <w:r>
              <w:rPr>
                <w:color w:val="auto"/>
                <w:kern w:val="0"/>
                <w:szCs w:val="21"/>
              </w:rPr>
              <w:t>~3.35</w:t>
            </w:r>
            <w:r>
              <w:rPr>
                <w:rFonts w:hint="eastAsia"/>
                <w:color w:val="auto"/>
                <w:kern w:val="0"/>
                <w:szCs w:val="21"/>
              </w:rPr>
              <w:t>mm</w:t>
            </w:r>
          </w:p>
        </w:tc>
        <w:tc>
          <w:tcPr>
            <w:tcW w:w="3259" w:type="dxa"/>
            <w:vMerge w:val="continue"/>
            <w:tcBorders>
              <w:tl2br w:val="nil"/>
              <w:tr2bl w:val="nil"/>
            </w:tcBorders>
            <w:shd w:val="clear" w:color="auto" w:fill="FFFFFF"/>
            <w:vAlign w:val="center"/>
          </w:tcPr>
          <w:p>
            <w:pPr>
              <w:snapToGrid w:val="0"/>
              <w:jc w:val="center"/>
              <w:rPr>
                <w:rFonts w:ascii="Times New Roman" w:hAnsi="Times New Roman" w:eastAsia="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699" w:type="dxa"/>
            <w:vMerge w:val="continue"/>
            <w:tcBorders>
              <w:tl2br w:val="nil"/>
              <w:tr2bl w:val="nil"/>
            </w:tcBorders>
            <w:shd w:val="clear" w:color="auto" w:fill="FFFFFF"/>
            <w:noWrap/>
            <w:vAlign w:val="center"/>
          </w:tcPr>
          <w:p>
            <w:pPr>
              <w:pStyle w:val="17"/>
              <w:widowControl/>
              <w:numPr>
                <w:ilvl w:val="0"/>
                <w:numId w:val="1"/>
              </w:numPr>
              <w:ind w:firstLineChars="0"/>
              <w:jc w:val="center"/>
              <w:rPr>
                <w:rFonts w:ascii="Times New Roman" w:hAnsi="Times New Roman" w:eastAsia="宋体" w:cs="Times New Roman"/>
                <w:color w:val="auto"/>
                <w:kern w:val="2"/>
                <w:sz w:val="21"/>
                <w:szCs w:val="21"/>
                <w:lang w:val="en-US" w:eastAsia="zh-CN" w:bidi="ar-SA"/>
              </w:rPr>
            </w:pPr>
          </w:p>
        </w:tc>
        <w:tc>
          <w:tcPr>
            <w:tcW w:w="1730" w:type="dxa"/>
            <w:vMerge w:val="continue"/>
            <w:tcBorders>
              <w:tl2br w:val="nil"/>
              <w:tr2bl w:val="nil"/>
            </w:tcBorders>
            <w:shd w:val="clear" w:color="auto" w:fill="FFFFFF"/>
            <w:noWrap/>
            <w:vAlign w:val="center"/>
          </w:tcPr>
          <w:p>
            <w:pPr>
              <w:widowControl/>
              <w:jc w:val="center"/>
              <w:rPr>
                <w:color w:val="auto"/>
                <w:kern w:val="0"/>
                <w:szCs w:val="21"/>
              </w:rPr>
            </w:pPr>
          </w:p>
        </w:tc>
        <w:tc>
          <w:tcPr>
            <w:tcW w:w="3120" w:type="dxa"/>
            <w:tcBorders>
              <w:tl2br w:val="nil"/>
              <w:tr2bl w:val="nil"/>
            </w:tcBorders>
            <w:shd w:val="clear" w:color="auto" w:fill="FFFFFF"/>
            <w:vAlign w:val="center"/>
          </w:tcPr>
          <w:p>
            <w:pPr>
              <w:widowControl/>
              <w:jc w:val="center"/>
              <w:rPr>
                <w:color w:val="auto"/>
                <w:kern w:val="0"/>
                <w:szCs w:val="21"/>
              </w:rPr>
            </w:pPr>
            <w:r>
              <w:rPr>
                <w:rFonts w:hint="eastAsia"/>
                <w:color w:val="auto"/>
                <w:kern w:val="0"/>
                <w:szCs w:val="21"/>
              </w:rPr>
              <w:t>d</w:t>
            </w:r>
            <w:r>
              <w:rPr>
                <w:color w:val="auto"/>
                <w:kern w:val="0"/>
                <w:szCs w:val="21"/>
              </w:rPr>
              <w:t xml:space="preserve"> 2.00</w:t>
            </w:r>
            <w:r>
              <w:rPr>
                <w:rFonts w:hint="eastAsia"/>
                <w:color w:val="auto"/>
                <w:kern w:val="0"/>
                <w:szCs w:val="21"/>
              </w:rPr>
              <w:t>mm</w:t>
            </w:r>
            <w:r>
              <w:rPr>
                <w:color w:val="auto"/>
                <w:kern w:val="0"/>
                <w:szCs w:val="21"/>
              </w:rPr>
              <w:t>~4.75</w:t>
            </w:r>
            <w:r>
              <w:rPr>
                <w:rFonts w:hint="eastAsia"/>
                <w:color w:val="auto"/>
                <w:kern w:val="0"/>
                <w:szCs w:val="21"/>
              </w:rPr>
              <w:t>mm</w:t>
            </w:r>
          </w:p>
        </w:tc>
        <w:tc>
          <w:tcPr>
            <w:tcW w:w="3259" w:type="dxa"/>
            <w:vMerge w:val="continue"/>
            <w:tcBorders>
              <w:tl2br w:val="nil"/>
              <w:tr2bl w:val="nil"/>
            </w:tcBorders>
            <w:shd w:val="clear" w:color="auto" w:fill="FFFFFF"/>
            <w:vAlign w:val="center"/>
          </w:tcPr>
          <w:p>
            <w:pPr>
              <w:snapToGrid w:val="0"/>
              <w:jc w:val="center"/>
              <w:rPr>
                <w:rFonts w:ascii="Times New Roman" w:hAnsi="Times New Roman" w:eastAsia="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699" w:type="dxa"/>
            <w:vMerge w:val="continue"/>
            <w:tcBorders>
              <w:tl2br w:val="nil"/>
              <w:tr2bl w:val="nil"/>
            </w:tcBorders>
            <w:shd w:val="clear" w:color="auto" w:fill="FFFFFF"/>
            <w:noWrap/>
            <w:vAlign w:val="center"/>
          </w:tcPr>
          <w:p>
            <w:pPr>
              <w:pStyle w:val="17"/>
              <w:widowControl/>
              <w:numPr>
                <w:ilvl w:val="0"/>
                <w:numId w:val="1"/>
              </w:numPr>
              <w:ind w:firstLineChars="0"/>
              <w:jc w:val="center"/>
              <w:rPr>
                <w:rFonts w:ascii="Times New Roman" w:hAnsi="Times New Roman" w:eastAsia="宋体" w:cs="Times New Roman"/>
                <w:color w:val="auto"/>
                <w:kern w:val="2"/>
                <w:sz w:val="21"/>
                <w:szCs w:val="21"/>
                <w:lang w:val="en-US" w:eastAsia="zh-CN" w:bidi="ar-SA"/>
              </w:rPr>
            </w:pPr>
          </w:p>
        </w:tc>
        <w:tc>
          <w:tcPr>
            <w:tcW w:w="1730" w:type="dxa"/>
            <w:vMerge w:val="continue"/>
            <w:tcBorders>
              <w:tl2br w:val="nil"/>
              <w:tr2bl w:val="nil"/>
            </w:tcBorders>
            <w:shd w:val="clear" w:color="auto" w:fill="FFFFFF"/>
            <w:noWrap/>
            <w:vAlign w:val="center"/>
          </w:tcPr>
          <w:p>
            <w:pPr>
              <w:widowControl/>
              <w:jc w:val="center"/>
              <w:rPr>
                <w:color w:val="auto"/>
                <w:kern w:val="0"/>
                <w:szCs w:val="21"/>
              </w:rPr>
            </w:pPr>
          </w:p>
        </w:tc>
        <w:tc>
          <w:tcPr>
            <w:tcW w:w="3120" w:type="dxa"/>
            <w:tcBorders>
              <w:tl2br w:val="nil"/>
              <w:tr2bl w:val="nil"/>
            </w:tcBorders>
            <w:shd w:val="clear" w:color="auto" w:fill="FFFFFF"/>
            <w:vAlign w:val="center"/>
          </w:tcPr>
          <w:p>
            <w:pPr>
              <w:widowControl/>
              <w:jc w:val="center"/>
              <w:rPr>
                <w:color w:val="auto"/>
                <w:kern w:val="0"/>
                <w:szCs w:val="21"/>
              </w:rPr>
            </w:pPr>
            <w:r>
              <w:rPr>
                <w:rFonts w:hint="eastAsia"/>
                <w:color w:val="auto"/>
                <w:kern w:val="0"/>
                <w:szCs w:val="21"/>
              </w:rPr>
              <w:t>d</w:t>
            </w:r>
            <w:r>
              <w:rPr>
                <w:color w:val="auto"/>
                <w:kern w:val="0"/>
                <w:szCs w:val="21"/>
              </w:rPr>
              <w:t xml:space="preserve"> 4.00</w:t>
            </w:r>
            <w:r>
              <w:rPr>
                <w:rFonts w:hint="eastAsia"/>
                <w:color w:val="auto"/>
                <w:kern w:val="0"/>
                <w:szCs w:val="21"/>
              </w:rPr>
              <w:t>mm</w:t>
            </w:r>
            <w:r>
              <w:rPr>
                <w:color w:val="auto"/>
                <w:kern w:val="0"/>
                <w:szCs w:val="21"/>
              </w:rPr>
              <w:t>~8.00</w:t>
            </w:r>
            <w:r>
              <w:rPr>
                <w:rFonts w:hint="eastAsia"/>
                <w:color w:val="auto"/>
                <w:kern w:val="0"/>
                <w:szCs w:val="21"/>
              </w:rPr>
              <w:t>mm</w:t>
            </w:r>
          </w:p>
        </w:tc>
        <w:tc>
          <w:tcPr>
            <w:tcW w:w="3259" w:type="dxa"/>
            <w:vMerge w:val="continue"/>
            <w:tcBorders>
              <w:tl2br w:val="nil"/>
              <w:tr2bl w:val="nil"/>
            </w:tcBorders>
            <w:shd w:val="clear" w:color="auto" w:fill="FFFFFF"/>
            <w:vAlign w:val="center"/>
          </w:tcPr>
          <w:p>
            <w:pPr>
              <w:snapToGrid w:val="0"/>
              <w:jc w:val="center"/>
              <w:rPr>
                <w:rFonts w:ascii="Times New Roman" w:hAnsi="Times New Roman" w:eastAsia="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4" w:hRule="atLeast"/>
        </w:trPr>
        <w:tc>
          <w:tcPr>
            <w:tcW w:w="699" w:type="dxa"/>
            <w:tcBorders>
              <w:tl2br w:val="nil"/>
              <w:tr2bl w:val="nil"/>
            </w:tcBorders>
            <w:shd w:val="clear" w:color="auto" w:fill="FFFFFF"/>
            <w:noWrap/>
            <w:vAlign w:val="center"/>
          </w:tcPr>
          <w:p>
            <w:pPr>
              <w:pStyle w:val="17"/>
              <w:widowControl/>
              <w:numPr>
                <w:ilvl w:val="0"/>
                <w:numId w:val="1"/>
              </w:numPr>
              <w:ind w:firstLineChars="0"/>
              <w:jc w:val="center"/>
              <w:rPr>
                <w:rFonts w:ascii="Times New Roman" w:hAnsi="Times New Roman" w:eastAsia="宋体" w:cs="Times New Roman"/>
                <w:color w:val="auto"/>
                <w:kern w:val="2"/>
                <w:sz w:val="21"/>
                <w:szCs w:val="21"/>
                <w:lang w:val="en-US" w:eastAsia="zh-CN" w:bidi="ar-SA"/>
              </w:rPr>
            </w:pPr>
          </w:p>
        </w:tc>
        <w:tc>
          <w:tcPr>
            <w:tcW w:w="4850" w:type="dxa"/>
            <w:gridSpan w:val="2"/>
            <w:tcBorders>
              <w:tl2br w:val="nil"/>
              <w:tr2bl w:val="nil"/>
            </w:tcBorders>
            <w:shd w:val="clear" w:color="auto" w:fill="FFFFFF"/>
            <w:noWrap/>
            <w:vAlign w:val="center"/>
          </w:tcPr>
          <w:p>
            <w:pPr>
              <w:widowControl/>
              <w:jc w:val="center"/>
              <w:rPr>
                <w:color w:val="auto"/>
                <w:kern w:val="0"/>
                <w:szCs w:val="21"/>
              </w:rPr>
            </w:pPr>
            <w:r>
              <w:rPr>
                <w:color w:val="auto"/>
                <w:kern w:val="0"/>
                <w:szCs w:val="21"/>
              </w:rPr>
              <w:t>总砷</w:t>
            </w:r>
          </w:p>
        </w:tc>
        <w:tc>
          <w:tcPr>
            <w:tcW w:w="3259" w:type="dxa"/>
            <w:tcBorders>
              <w:tl2br w:val="nil"/>
              <w:tr2bl w:val="nil"/>
            </w:tcBorders>
            <w:shd w:val="clear" w:color="auto" w:fill="FFFFFF"/>
            <w:vAlign w:val="center"/>
          </w:tcPr>
          <w:p>
            <w:pPr>
              <w:snapToGrid w:val="0"/>
              <w:jc w:val="center"/>
              <w:rPr>
                <w:rFonts w:ascii="Times New Roman" w:hAnsi="Times New Roman" w:eastAsia="宋体"/>
                <w:color w:val="auto"/>
                <w:szCs w:val="21"/>
              </w:rPr>
            </w:pPr>
            <w:r>
              <w:rPr>
                <w:rFonts w:ascii="Times New Roman" w:hAnsi="Times New Roman" w:eastAsia="宋体"/>
                <w:color w:val="auto"/>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4" w:hRule="atLeast"/>
        </w:trPr>
        <w:tc>
          <w:tcPr>
            <w:tcW w:w="699" w:type="dxa"/>
            <w:tcBorders>
              <w:tl2br w:val="nil"/>
              <w:tr2bl w:val="nil"/>
            </w:tcBorders>
            <w:shd w:val="clear" w:color="auto" w:fill="FFFFFF"/>
            <w:noWrap/>
            <w:vAlign w:val="center"/>
          </w:tcPr>
          <w:p>
            <w:pPr>
              <w:pStyle w:val="17"/>
              <w:widowControl/>
              <w:numPr>
                <w:ilvl w:val="0"/>
                <w:numId w:val="1"/>
              </w:numPr>
              <w:ind w:firstLineChars="0"/>
              <w:jc w:val="center"/>
              <w:rPr>
                <w:rFonts w:ascii="Times New Roman" w:hAnsi="Times New Roman" w:eastAsia="宋体" w:cs="Times New Roman"/>
                <w:color w:val="auto"/>
                <w:kern w:val="2"/>
                <w:sz w:val="21"/>
                <w:szCs w:val="21"/>
                <w:lang w:val="en-US" w:eastAsia="zh-CN" w:bidi="ar-SA"/>
              </w:rPr>
            </w:pPr>
          </w:p>
        </w:tc>
        <w:tc>
          <w:tcPr>
            <w:tcW w:w="4850" w:type="dxa"/>
            <w:gridSpan w:val="2"/>
            <w:tcBorders>
              <w:tl2br w:val="nil"/>
              <w:tr2bl w:val="nil"/>
            </w:tcBorders>
            <w:shd w:val="clear" w:color="auto" w:fill="FFFFFF"/>
            <w:noWrap/>
            <w:vAlign w:val="center"/>
          </w:tcPr>
          <w:p>
            <w:pPr>
              <w:widowControl/>
              <w:jc w:val="center"/>
              <w:rPr>
                <w:color w:val="auto"/>
                <w:kern w:val="0"/>
                <w:szCs w:val="21"/>
              </w:rPr>
            </w:pPr>
            <w:r>
              <w:rPr>
                <w:color w:val="auto"/>
                <w:kern w:val="0"/>
                <w:szCs w:val="21"/>
              </w:rPr>
              <w:t>总镉</w:t>
            </w:r>
          </w:p>
        </w:tc>
        <w:tc>
          <w:tcPr>
            <w:tcW w:w="3259" w:type="dxa"/>
            <w:tcBorders>
              <w:tl2br w:val="nil"/>
              <w:tr2bl w:val="nil"/>
            </w:tcBorders>
            <w:shd w:val="clear" w:color="auto" w:fill="FFFFFF"/>
            <w:vAlign w:val="center"/>
          </w:tcPr>
          <w:p>
            <w:pPr>
              <w:snapToGrid w:val="0"/>
              <w:jc w:val="center"/>
              <w:rPr>
                <w:rFonts w:ascii="Times New Roman" w:hAnsi="Times New Roman" w:eastAsia="宋体"/>
                <w:color w:val="auto"/>
                <w:szCs w:val="21"/>
              </w:rPr>
            </w:pPr>
            <w:r>
              <w:rPr>
                <w:rFonts w:ascii="Times New Roman" w:hAnsi="Times New Roman" w:eastAsia="宋体"/>
                <w:color w:val="auto"/>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4" w:hRule="atLeast"/>
        </w:trPr>
        <w:tc>
          <w:tcPr>
            <w:tcW w:w="699" w:type="dxa"/>
            <w:tcBorders>
              <w:tl2br w:val="nil"/>
              <w:tr2bl w:val="nil"/>
            </w:tcBorders>
            <w:shd w:val="clear" w:color="auto" w:fill="FFFFFF"/>
            <w:noWrap/>
            <w:vAlign w:val="center"/>
          </w:tcPr>
          <w:p>
            <w:pPr>
              <w:pStyle w:val="17"/>
              <w:widowControl/>
              <w:numPr>
                <w:ilvl w:val="0"/>
                <w:numId w:val="1"/>
              </w:numPr>
              <w:ind w:firstLineChars="0"/>
              <w:jc w:val="center"/>
              <w:rPr>
                <w:rFonts w:ascii="Times New Roman" w:hAnsi="Times New Roman" w:eastAsia="宋体" w:cs="Times New Roman"/>
                <w:color w:val="auto"/>
                <w:kern w:val="2"/>
                <w:sz w:val="21"/>
                <w:szCs w:val="21"/>
                <w:lang w:val="en-US" w:eastAsia="zh-CN" w:bidi="ar-SA"/>
              </w:rPr>
            </w:pPr>
          </w:p>
        </w:tc>
        <w:tc>
          <w:tcPr>
            <w:tcW w:w="4850" w:type="dxa"/>
            <w:gridSpan w:val="2"/>
            <w:tcBorders>
              <w:tl2br w:val="nil"/>
              <w:tr2bl w:val="nil"/>
            </w:tcBorders>
            <w:shd w:val="clear" w:color="auto" w:fill="FFFFFF"/>
            <w:noWrap/>
            <w:vAlign w:val="center"/>
          </w:tcPr>
          <w:p>
            <w:pPr>
              <w:widowControl/>
              <w:jc w:val="center"/>
              <w:rPr>
                <w:color w:val="auto"/>
                <w:kern w:val="0"/>
                <w:szCs w:val="21"/>
              </w:rPr>
            </w:pPr>
            <w:r>
              <w:rPr>
                <w:color w:val="auto"/>
                <w:kern w:val="0"/>
                <w:szCs w:val="21"/>
              </w:rPr>
              <w:t>总铅</w:t>
            </w:r>
          </w:p>
        </w:tc>
        <w:tc>
          <w:tcPr>
            <w:tcW w:w="3259" w:type="dxa"/>
            <w:tcBorders>
              <w:tl2br w:val="nil"/>
              <w:tr2bl w:val="nil"/>
            </w:tcBorders>
            <w:shd w:val="clear" w:color="auto" w:fill="FFFFFF"/>
            <w:vAlign w:val="center"/>
          </w:tcPr>
          <w:p>
            <w:pPr>
              <w:snapToGrid w:val="0"/>
              <w:jc w:val="center"/>
              <w:rPr>
                <w:rFonts w:ascii="Times New Roman" w:hAnsi="Times New Roman" w:eastAsia="宋体"/>
                <w:color w:val="auto"/>
                <w:szCs w:val="21"/>
              </w:rPr>
            </w:pPr>
            <w:r>
              <w:rPr>
                <w:rFonts w:ascii="Times New Roman" w:hAnsi="Times New Roman" w:eastAsia="宋体"/>
                <w:color w:val="auto"/>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4" w:hRule="atLeast"/>
        </w:trPr>
        <w:tc>
          <w:tcPr>
            <w:tcW w:w="699" w:type="dxa"/>
            <w:tcBorders>
              <w:tl2br w:val="nil"/>
              <w:tr2bl w:val="nil"/>
            </w:tcBorders>
            <w:shd w:val="clear" w:color="auto" w:fill="FFFFFF"/>
            <w:noWrap/>
            <w:vAlign w:val="center"/>
          </w:tcPr>
          <w:p>
            <w:pPr>
              <w:pStyle w:val="17"/>
              <w:widowControl/>
              <w:numPr>
                <w:ilvl w:val="0"/>
                <w:numId w:val="1"/>
              </w:numPr>
              <w:ind w:firstLineChars="0"/>
              <w:jc w:val="center"/>
              <w:rPr>
                <w:rFonts w:ascii="Times New Roman" w:hAnsi="Times New Roman" w:eastAsia="宋体" w:cs="Times New Roman"/>
                <w:color w:val="auto"/>
                <w:kern w:val="2"/>
                <w:sz w:val="21"/>
                <w:szCs w:val="21"/>
                <w:lang w:val="en-US" w:eastAsia="zh-CN" w:bidi="ar-SA"/>
              </w:rPr>
            </w:pPr>
          </w:p>
        </w:tc>
        <w:tc>
          <w:tcPr>
            <w:tcW w:w="4850" w:type="dxa"/>
            <w:gridSpan w:val="2"/>
            <w:tcBorders>
              <w:tl2br w:val="nil"/>
              <w:tr2bl w:val="nil"/>
            </w:tcBorders>
            <w:shd w:val="clear" w:color="auto" w:fill="FFFFFF"/>
            <w:noWrap/>
            <w:vAlign w:val="center"/>
          </w:tcPr>
          <w:p>
            <w:pPr>
              <w:widowControl/>
              <w:jc w:val="center"/>
              <w:rPr>
                <w:color w:val="auto"/>
                <w:kern w:val="0"/>
                <w:szCs w:val="21"/>
              </w:rPr>
            </w:pPr>
            <w:r>
              <w:rPr>
                <w:color w:val="auto"/>
                <w:kern w:val="0"/>
                <w:szCs w:val="21"/>
              </w:rPr>
              <w:t>总铬</w:t>
            </w:r>
          </w:p>
        </w:tc>
        <w:tc>
          <w:tcPr>
            <w:tcW w:w="3259" w:type="dxa"/>
            <w:tcBorders>
              <w:tl2br w:val="nil"/>
              <w:tr2bl w:val="nil"/>
            </w:tcBorders>
            <w:shd w:val="clear" w:color="auto" w:fill="FFFFFF"/>
            <w:vAlign w:val="center"/>
          </w:tcPr>
          <w:p>
            <w:pPr>
              <w:snapToGrid w:val="0"/>
              <w:jc w:val="center"/>
              <w:rPr>
                <w:rFonts w:ascii="Times New Roman" w:hAnsi="Times New Roman" w:eastAsia="宋体"/>
                <w:color w:val="auto"/>
                <w:szCs w:val="21"/>
              </w:rPr>
            </w:pPr>
            <w:r>
              <w:rPr>
                <w:rFonts w:ascii="Times New Roman" w:hAnsi="Times New Roman" w:eastAsia="宋体"/>
                <w:color w:val="auto"/>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9" w:hRule="atLeast"/>
        </w:trPr>
        <w:tc>
          <w:tcPr>
            <w:tcW w:w="699" w:type="dxa"/>
            <w:tcBorders>
              <w:tl2br w:val="nil"/>
              <w:tr2bl w:val="nil"/>
            </w:tcBorders>
            <w:shd w:val="clear" w:color="auto" w:fill="FFFFFF"/>
            <w:noWrap/>
            <w:vAlign w:val="center"/>
          </w:tcPr>
          <w:p>
            <w:pPr>
              <w:pStyle w:val="17"/>
              <w:widowControl/>
              <w:numPr>
                <w:ilvl w:val="0"/>
                <w:numId w:val="1"/>
              </w:numPr>
              <w:ind w:firstLineChars="0"/>
              <w:jc w:val="center"/>
              <w:rPr>
                <w:rFonts w:ascii="Times New Roman" w:hAnsi="Times New Roman" w:eastAsia="宋体" w:cs="Times New Roman"/>
                <w:color w:val="auto"/>
                <w:kern w:val="2"/>
                <w:sz w:val="21"/>
                <w:szCs w:val="21"/>
                <w:lang w:val="en-US" w:eastAsia="zh-CN" w:bidi="ar-SA"/>
              </w:rPr>
            </w:pPr>
          </w:p>
        </w:tc>
        <w:tc>
          <w:tcPr>
            <w:tcW w:w="4850" w:type="dxa"/>
            <w:gridSpan w:val="2"/>
            <w:tcBorders>
              <w:tl2br w:val="nil"/>
              <w:tr2bl w:val="nil"/>
            </w:tcBorders>
            <w:shd w:val="clear" w:color="auto" w:fill="FFFFFF"/>
            <w:noWrap/>
            <w:vAlign w:val="center"/>
          </w:tcPr>
          <w:p>
            <w:pPr>
              <w:widowControl/>
              <w:jc w:val="center"/>
              <w:rPr>
                <w:color w:val="auto"/>
                <w:kern w:val="0"/>
                <w:szCs w:val="21"/>
              </w:rPr>
            </w:pPr>
            <w:r>
              <w:rPr>
                <w:color w:val="auto"/>
                <w:kern w:val="0"/>
                <w:szCs w:val="21"/>
              </w:rPr>
              <w:t>总汞</w:t>
            </w:r>
          </w:p>
        </w:tc>
        <w:tc>
          <w:tcPr>
            <w:tcW w:w="3259" w:type="dxa"/>
            <w:tcBorders>
              <w:tl2br w:val="nil"/>
              <w:tr2bl w:val="nil"/>
            </w:tcBorders>
            <w:shd w:val="clear" w:color="auto" w:fill="FFFFFF"/>
            <w:vAlign w:val="center"/>
          </w:tcPr>
          <w:p>
            <w:pPr>
              <w:snapToGrid w:val="0"/>
              <w:jc w:val="center"/>
              <w:rPr>
                <w:rFonts w:ascii="Times New Roman" w:hAnsi="Times New Roman" w:eastAsia="宋体"/>
                <w:color w:val="auto"/>
                <w:szCs w:val="21"/>
              </w:rPr>
            </w:pPr>
            <w:r>
              <w:rPr>
                <w:rFonts w:ascii="Times New Roman" w:hAnsi="Times New Roman" w:eastAsia="宋体"/>
                <w:color w:val="auto"/>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9" w:hRule="atLeast"/>
        </w:trPr>
        <w:tc>
          <w:tcPr>
            <w:tcW w:w="699" w:type="dxa"/>
            <w:tcBorders>
              <w:tl2br w:val="nil"/>
              <w:tr2bl w:val="nil"/>
            </w:tcBorders>
            <w:shd w:val="clear" w:color="auto" w:fill="FFFFFF"/>
            <w:noWrap/>
            <w:vAlign w:val="center"/>
          </w:tcPr>
          <w:p>
            <w:pPr>
              <w:pStyle w:val="17"/>
              <w:widowControl/>
              <w:numPr>
                <w:ilvl w:val="0"/>
                <w:numId w:val="1"/>
              </w:numPr>
              <w:ind w:firstLineChars="0"/>
              <w:jc w:val="center"/>
              <w:rPr>
                <w:rFonts w:ascii="Times New Roman" w:hAnsi="Times New Roman" w:eastAsia="宋体" w:cs="Times New Roman"/>
                <w:color w:val="auto"/>
                <w:kern w:val="2"/>
                <w:sz w:val="21"/>
                <w:szCs w:val="21"/>
                <w:lang w:val="en-US" w:eastAsia="zh-CN" w:bidi="ar-SA"/>
              </w:rPr>
            </w:pPr>
          </w:p>
        </w:tc>
        <w:tc>
          <w:tcPr>
            <w:tcW w:w="4850" w:type="dxa"/>
            <w:gridSpan w:val="2"/>
            <w:tcBorders>
              <w:tl2br w:val="nil"/>
              <w:tr2bl w:val="nil"/>
            </w:tcBorders>
            <w:shd w:val="clear" w:color="auto" w:fill="FFFFFF"/>
            <w:noWrap/>
            <w:vAlign w:val="center"/>
          </w:tcPr>
          <w:p>
            <w:pPr>
              <w:widowControl/>
              <w:jc w:val="center"/>
              <w:rPr>
                <w:color w:val="auto"/>
                <w:kern w:val="0"/>
                <w:szCs w:val="21"/>
              </w:rPr>
            </w:pPr>
            <w:r>
              <w:rPr>
                <w:color w:val="auto"/>
                <w:kern w:val="0"/>
                <w:szCs w:val="21"/>
              </w:rPr>
              <w:t>总铊</w:t>
            </w:r>
          </w:p>
        </w:tc>
        <w:tc>
          <w:tcPr>
            <w:tcW w:w="3259" w:type="dxa"/>
            <w:tcBorders>
              <w:tl2br w:val="nil"/>
              <w:tr2bl w:val="nil"/>
            </w:tcBorders>
            <w:shd w:val="clear" w:color="auto" w:fill="FFFFFF"/>
            <w:vAlign w:val="center"/>
          </w:tcPr>
          <w:p>
            <w:pPr>
              <w:snapToGrid w:val="0"/>
              <w:jc w:val="center"/>
              <w:rPr>
                <w:rFonts w:ascii="Times New Roman" w:hAnsi="Times New Roman" w:eastAsia="宋体"/>
                <w:color w:val="auto"/>
                <w:szCs w:val="21"/>
              </w:rPr>
            </w:pPr>
            <w:r>
              <w:rPr>
                <w:rFonts w:ascii="Times New Roman" w:hAnsi="Times New Roman" w:eastAsia="宋体"/>
                <w:color w:val="auto"/>
                <w:szCs w:val="21"/>
              </w:rPr>
              <w:t>GB 38400-2019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4" w:hRule="atLeast"/>
        </w:trPr>
        <w:tc>
          <w:tcPr>
            <w:tcW w:w="699" w:type="dxa"/>
            <w:tcBorders>
              <w:tl2br w:val="nil"/>
              <w:tr2bl w:val="nil"/>
            </w:tcBorders>
            <w:shd w:val="clear" w:color="auto" w:fill="FFFFFF"/>
            <w:noWrap/>
            <w:vAlign w:val="center"/>
          </w:tcPr>
          <w:p>
            <w:pPr>
              <w:pStyle w:val="17"/>
              <w:widowControl/>
              <w:numPr>
                <w:ilvl w:val="0"/>
                <w:numId w:val="1"/>
              </w:numPr>
              <w:ind w:firstLineChars="0"/>
              <w:jc w:val="center"/>
              <w:rPr>
                <w:rFonts w:ascii="Times New Roman" w:hAnsi="Times New Roman" w:eastAsia="宋体" w:cs="Times New Roman"/>
                <w:color w:val="auto"/>
                <w:kern w:val="2"/>
                <w:sz w:val="21"/>
                <w:szCs w:val="21"/>
                <w:lang w:val="en-US" w:eastAsia="zh-CN" w:bidi="ar-SA"/>
              </w:rPr>
            </w:pPr>
          </w:p>
        </w:tc>
        <w:tc>
          <w:tcPr>
            <w:tcW w:w="4850" w:type="dxa"/>
            <w:gridSpan w:val="2"/>
            <w:tcBorders>
              <w:tl2br w:val="nil"/>
              <w:tr2bl w:val="nil"/>
            </w:tcBorders>
            <w:shd w:val="clear" w:color="auto" w:fill="FFFFFF"/>
            <w:noWrap/>
            <w:vAlign w:val="center"/>
          </w:tcPr>
          <w:p>
            <w:pPr>
              <w:widowControl/>
              <w:jc w:val="center"/>
              <w:rPr>
                <w:color w:val="auto"/>
                <w:kern w:val="0"/>
                <w:szCs w:val="21"/>
              </w:rPr>
            </w:pPr>
            <w:r>
              <w:rPr>
                <w:color w:val="auto"/>
                <w:kern w:val="0"/>
                <w:szCs w:val="21"/>
              </w:rPr>
              <w:t>包装标识（养分含量、警示语、名称中的禁用语</w:t>
            </w:r>
            <w:r>
              <w:rPr>
                <w:rFonts w:hint="eastAsia"/>
                <w:color w:val="000000" w:themeColor="text1"/>
                <w:kern w:val="0"/>
                <w:szCs w:val="21"/>
                <w14:textFill>
                  <w14:solidFill>
                    <w14:schemeClr w14:val="tx1"/>
                  </w14:solidFill>
                </w14:textFill>
              </w:rPr>
              <w:t>等</w:t>
            </w:r>
            <w:r>
              <w:rPr>
                <w:color w:val="auto"/>
                <w:kern w:val="0"/>
                <w:szCs w:val="21"/>
              </w:rPr>
              <w:t>）</w:t>
            </w:r>
          </w:p>
        </w:tc>
        <w:tc>
          <w:tcPr>
            <w:tcW w:w="3259" w:type="dxa"/>
            <w:tcBorders>
              <w:tl2br w:val="nil"/>
              <w:tr2bl w:val="nil"/>
            </w:tcBorders>
            <w:shd w:val="clear" w:color="auto" w:fill="FFFFFF"/>
            <w:vAlign w:val="center"/>
          </w:tcPr>
          <w:p>
            <w:pPr>
              <w:snapToGrid w:val="0"/>
              <w:jc w:val="center"/>
              <w:rPr>
                <w:rFonts w:ascii="Times New Roman" w:hAnsi="Times New Roman" w:eastAsia="宋体"/>
                <w:color w:val="auto"/>
                <w:szCs w:val="21"/>
              </w:rPr>
            </w:pPr>
            <w:r>
              <w:rPr>
                <w:rFonts w:ascii="Times New Roman" w:hAnsi="Times New Roman" w:eastAsia="宋体"/>
                <w:color w:val="auto"/>
                <w:szCs w:val="21"/>
              </w:rPr>
              <w:t>GB 18382-2021</w:t>
            </w:r>
          </w:p>
          <w:p>
            <w:pPr>
              <w:snapToGrid w:val="0"/>
              <w:jc w:val="center"/>
              <w:rPr>
                <w:rFonts w:ascii="Times New Roman" w:hAnsi="Times New Roman" w:eastAsia="宋体"/>
                <w:color w:val="auto"/>
                <w:szCs w:val="21"/>
              </w:rPr>
            </w:pPr>
            <w:r>
              <w:rPr>
                <w:rFonts w:ascii="Times New Roman" w:hAnsi="Times New Roman" w:eastAsia="宋体"/>
                <w:color w:val="auto"/>
                <w:szCs w:val="21"/>
              </w:rPr>
              <w:t>GB/T 2440-2017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4" w:hRule="atLeast"/>
        </w:trPr>
        <w:tc>
          <w:tcPr>
            <w:tcW w:w="699" w:type="dxa"/>
            <w:tcBorders>
              <w:tl2br w:val="nil"/>
              <w:tr2bl w:val="nil"/>
            </w:tcBorders>
            <w:shd w:val="clear" w:color="auto" w:fill="FFFFFF"/>
            <w:noWrap/>
            <w:vAlign w:val="center"/>
          </w:tcPr>
          <w:p>
            <w:pPr>
              <w:pStyle w:val="17"/>
              <w:widowControl/>
              <w:ind w:firstLine="0" w:firstLineChars="0"/>
              <w:rPr>
                <w:rFonts w:ascii="Times New Roman" w:hAnsi="Times New Roman" w:eastAsia="宋体"/>
                <w:color w:val="auto"/>
                <w:kern w:val="0"/>
                <w:szCs w:val="21"/>
              </w:rPr>
            </w:pPr>
            <w:r>
              <w:rPr>
                <w:rFonts w:hint="eastAsia" w:ascii="Times New Roman" w:hAnsi="Times New Roman" w:eastAsia="宋体"/>
                <w:color w:val="auto"/>
                <w:kern w:val="0"/>
                <w:szCs w:val="21"/>
              </w:rPr>
              <w:t>说明</w:t>
            </w:r>
          </w:p>
        </w:tc>
        <w:tc>
          <w:tcPr>
            <w:tcW w:w="8109" w:type="dxa"/>
            <w:gridSpan w:val="3"/>
            <w:tcBorders>
              <w:tl2br w:val="nil"/>
              <w:tr2bl w:val="nil"/>
            </w:tcBorders>
            <w:shd w:val="clear" w:color="auto" w:fill="FFFFFF"/>
            <w:noWrap/>
            <w:vAlign w:val="center"/>
          </w:tcPr>
          <w:p>
            <w:pPr>
              <w:widowControl/>
              <w:rPr>
                <w:color w:val="auto"/>
                <w:kern w:val="0"/>
                <w:szCs w:val="21"/>
              </w:rPr>
            </w:pPr>
            <w:r>
              <w:rPr>
                <w:rFonts w:hint="eastAsia"/>
                <w:color w:val="auto"/>
                <w:kern w:val="0"/>
                <w:szCs w:val="21"/>
              </w:rPr>
              <w:t>a、只需符合四档中任意一档即可</w:t>
            </w:r>
            <w:r>
              <w:rPr>
                <w:rFonts w:hint="eastAsia"/>
                <w:color w:val="auto"/>
                <w:kern w:val="0"/>
                <w:szCs w:val="21"/>
                <w:lang w:eastAsia="zh-CN"/>
              </w:rPr>
              <w:t>，</w:t>
            </w:r>
            <w:r>
              <w:rPr>
                <w:rFonts w:hint="eastAsia"/>
                <w:color w:val="auto"/>
                <w:kern w:val="0"/>
                <w:szCs w:val="21"/>
              </w:rPr>
              <w:t>包装标识中应标明粒径范围。</w:t>
            </w:r>
          </w:p>
        </w:tc>
      </w:tr>
    </w:tbl>
    <w:p>
      <w:pPr>
        <w:snapToGrid w:val="0"/>
        <w:spacing w:line="440" w:lineRule="exact"/>
        <w:jc w:val="center"/>
        <w:rPr>
          <w:rFonts w:hint="eastAsia" w:ascii="黑体" w:hAnsi="黑体" w:eastAsia="黑体" w:cs="黑体"/>
          <w:bCs/>
          <w:color w:val="auto"/>
          <w:szCs w:val="21"/>
        </w:rPr>
      </w:pPr>
      <w:r>
        <w:rPr>
          <w:rFonts w:hint="eastAsia" w:ascii="黑体" w:hAnsi="黑体" w:eastAsia="黑体" w:cs="黑体"/>
          <w:bCs/>
          <w:color w:val="auto"/>
          <w:szCs w:val="21"/>
        </w:rPr>
        <w:t>表2</w:t>
      </w:r>
      <w:r>
        <w:rPr>
          <w:rFonts w:hint="eastAsia" w:ascii="黑体" w:hAnsi="黑体" w:eastAsia="黑体" w:cs="黑体"/>
          <w:bCs/>
          <w:color w:val="auto"/>
          <w:szCs w:val="21"/>
          <w:lang w:val="en-US" w:eastAsia="zh-CN"/>
        </w:rPr>
        <w:t xml:space="preserve"> </w:t>
      </w:r>
      <w:r>
        <w:rPr>
          <w:rFonts w:hint="eastAsia" w:ascii="黑体" w:hAnsi="黑体" w:eastAsia="黑体" w:cs="黑体"/>
          <w:bCs/>
          <w:color w:val="auto"/>
          <w:szCs w:val="21"/>
        </w:rPr>
        <w:t>农业用氯化铵</w:t>
      </w:r>
    </w:p>
    <w:tbl>
      <w:tblPr>
        <w:tblStyle w:val="8"/>
        <w:tblW w:w="8808"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
        <w:gridCol w:w="4580"/>
        <w:gridCol w:w="3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blHeader/>
        </w:trPr>
        <w:tc>
          <w:tcPr>
            <w:tcW w:w="699" w:type="dxa"/>
            <w:tcBorders>
              <w:tl2br w:val="nil"/>
              <w:tr2bl w:val="nil"/>
            </w:tcBorders>
            <w:shd w:val="clear" w:color="auto" w:fill="auto"/>
            <w:vAlign w:val="center"/>
          </w:tcPr>
          <w:p>
            <w:pPr>
              <w:widowControl/>
              <w:jc w:val="center"/>
              <w:rPr>
                <w:rFonts w:hint="eastAsia" w:ascii="黑体" w:hAnsi="黑体" w:eastAsia="黑体" w:cs="黑体"/>
                <w:color w:val="auto"/>
                <w:kern w:val="0"/>
                <w:szCs w:val="21"/>
              </w:rPr>
            </w:pPr>
            <w:r>
              <w:rPr>
                <w:rFonts w:hint="eastAsia" w:ascii="黑体" w:hAnsi="黑体" w:eastAsia="黑体" w:cs="黑体"/>
                <w:color w:val="auto"/>
                <w:kern w:val="0"/>
                <w:szCs w:val="21"/>
              </w:rPr>
              <w:t>序号</w:t>
            </w:r>
          </w:p>
        </w:tc>
        <w:tc>
          <w:tcPr>
            <w:tcW w:w="4580" w:type="dxa"/>
            <w:tcBorders>
              <w:tl2br w:val="nil"/>
              <w:tr2bl w:val="nil"/>
            </w:tcBorders>
            <w:shd w:val="clear" w:color="auto" w:fill="auto"/>
            <w:vAlign w:val="center"/>
          </w:tcPr>
          <w:p>
            <w:pPr>
              <w:widowControl/>
              <w:jc w:val="center"/>
              <w:rPr>
                <w:rFonts w:hint="eastAsia" w:ascii="黑体" w:hAnsi="黑体" w:eastAsia="黑体" w:cs="黑体"/>
                <w:color w:val="auto"/>
                <w:kern w:val="0"/>
                <w:szCs w:val="21"/>
              </w:rPr>
            </w:pPr>
            <w:r>
              <w:rPr>
                <w:rFonts w:hint="eastAsia" w:ascii="黑体" w:hAnsi="黑体" w:eastAsia="黑体" w:cs="黑体"/>
                <w:color w:val="auto"/>
                <w:kern w:val="0"/>
                <w:szCs w:val="21"/>
              </w:rPr>
              <w:t>检验项目</w:t>
            </w:r>
          </w:p>
        </w:tc>
        <w:tc>
          <w:tcPr>
            <w:tcW w:w="3529" w:type="dxa"/>
            <w:tcBorders>
              <w:tl2br w:val="nil"/>
              <w:tr2bl w:val="nil"/>
            </w:tcBorders>
            <w:shd w:val="clear" w:color="auto" w:fill="auto"/>
            <w:vAlign w:val="center"/>
          </w:tcPr>
          <w:p>
            <w:pPr>
              <w:widowControl/>
              <w:jc w:val="center"/>
              <w:rPr>
                <w:rFonts w:hint="eastAsia" w:ascii="黑体" w:hAnsi="黑体" w:eastAsia="黑体" w:cs="黑体"/>
                <w:color w:val="auto"/>
                <w:kern w:val="0"/>
                <w:szCs w:val="21"/>
              </w:rPr>
            </w:pPr>
            <w:r>
              <w:rPr>
                <w:rFonts w:hint="eastAsia" w:ascii="黑体" w:hAnsi="黑体" w:eastAsia="黑体" w:cs="黑体"/>
                <w:color w:val="auto"/>
                <w:kern w:val="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699" w:type="dxa"/>
            <w:tcBorders>
              <w:tl2br w:val="nil"/>
              <w:tr2bl w:val="nil"/>
            </w:tcBorders>
            <w:shd w:val="clear" w:color="auto" w:fill="auto"/>
            <w:vAlign w:val="center"/>
          </w:tcPr>
          <w:p>
            <w:pPr>
              <w:pStyle w:val="17"/>
              <w:widowControl/>
              <w:numPr>
                <w:ilvl w:val="0"/>
                <w:numId w:val="2"/>
              </w:numPr>
              <w:ind w:firstLineChars="0"/>
              <w:jc w:val="center"/>
              <w:rPr>
                <w:rFonts w:ascii="Times New Roman" w:hAnsi="Times New Roman" w:eastAsia="宋体"/>
                <w:color w:val="auto"/>
                <w:kern w:val="0"/>
                <w:szCs w:val="21"/>
              </w:rPr>
            </w:pPr>
          </w:p>
        </w:tc>
        <w:tc>
          <w:tcPr>
            <w:tcW w:w="4580" w:type="dxa"/>
            <w:tcBorders>
              <w:tl2br w:val="nil"/>
              <w:tr2bl w:val="nil"/>
            </w:tcBorders>
            <w:shd w:val="clear" w:color="auto" w:fill="auto"/>
            <w:vAlign w:val="center"/>
          </w:tcPr>
          <w:p>
            <w:pPr>
              <w:widowControl/>
              <w:jc w:val="center"/>
              <w:rPr>
                <w:color w:val="auto"/>
                <w:kern w:val="0"/>
                <w:szCs w:val="21"/>
              </w:rPr>
            </w:pPr>
            <w:r>
              <w:rPr>
                <w:color w:val="auto"/>
                <w:kern w:val="0"/>
                <w:szCs w:val="21"/>
              </w:rPr>
              <w:t>氮</w:t>
            </w:r>
            <w:r>
              <w:rPr>
                <w:rFonts w:hint="eastAsia"/>
                <w:color w:val="auto"/>
                <w:kern w:val="0"/>
                <w:szCs w:val="21"/>
              </w:rPr>
              <w:t>(</w:t>
            </w:r>
            <w:r>
              <w:rPr>
                <w:color w:val="auto"/>
                <w:kern w:val="0"/>
                <w:szCs w:val="21"/>
              </w:rPr>
              <w:t>N)</w:t>
            </w:r>
            <w:r>
              <w:rPr>
                <w:rFonts w:hint="eastAsia"/>
                <w:color w:val="auto"/>
                <w:kern w:val="0"/>
                <w:szCs w:val="21"/>
              </w:rPr>
              <w:t>的质量分数(以干基计</w:t>
            </w:r>
            <w:r>
              <w:rPr>
                <w:color w:val="auto"/>
                <w:kern w:val="0"/>
                <w:szCs w:val="21"/>
              </w:rPr>
              <w:t>)</w:t>
            </w:r>
          </w:p>
        </w:tc>
        <w:tc>
          <w:tcPr>
            <w:tcW w:w="3529" w:type="dxa"/>
            <w:tcBorders>
              <w:tl2br w:val="nil"/>
              <w:tr2bl w:val="nil"/>
            </w:tcBorders>
            <w:shd w:val="clear" w:color="auto" w:fill="auto"/>
            <w:vAlign w:val="center"/>
          </w:tcPr>
          <w:p>
            <w:pPr>
              <w:jc w:val="center"/>
              <w:rPr>
                <w:color w:val="auto"/>
                <w:kern w:val="0"/>
                <w:szCs w:val="21"/>
              </w:rPr>
            </w:pPr>
            <w:r>
              <w:rPr>
                <w:color w:val="auto"/>
                <w:kern w:val="0"/>
                <w:szCs w:val="21"/>
              </w:rPr>
              <w:t>GB/T 2946-2018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7"/>
              <w:widowControl/>
              <w:numPr>
                <w:ilvl w:val="0"/>
                <w:numId w:val="2"/>
              </w:numPr>
              <w:ind w:firstLineChars="0"/>
              <w:jc w:val="center"/>
              <w:rPr>
                <w:rFonts w:ascii="Times New Roman" w:hAnsi="Times New Roman" w:eastAsia="宋体"/>
                <w:color w:val="auto"/>
                <w:kern w:val="0"/>
                <w:szCs w:val="21"/>
              </w:rPr>
            </w:pPr>
          </w:p>
        </w:tc>
        <w:tc>
          <w:tcPr>
            <w:tcW w:w="4580" w:type="dxa"/>
            <w:tcBorders>
              <w:tl2br w:val="nil"/>
              <w:tr2bl w:val="nil"/>
            </w:tcBorders>
            <w:shd w:val="clear" w:color="auto" w:fill="auto"/>
            <w:vAlign w:val="center"/>
          </w:tcPr>
          <w:p>
            <w:pPr>
              <w:widowControl/>
              <w:jc w:val="center"/>
              <w:rPr>
                <w:color w:val="auto"/>
                <w:kern w:val="0"/>
                <w:szCs w:val="21"/>
              </w:rPr>
            </w:pPr>
            <w:r>
              <w:rPr>
                <w:rFonts w:hint="eastAsia"/>
                <w:color w:val="auto"/>
                <w:kern w:val="0"/>
                <w:szCs w:val="21"/>
              </w:rPr>
              <w:t>水的质量分数</w:t>
            </w:r>
            <w:r>
              <w:rPr>
                <w:rFonts w:hint="eastAsia"/>
                <w:color w:val="auto"/>
                <w:kern w:val="0"/>
                <w:szCs w:val="21"/>
                <w:vertAlign w:val="superscript"/>
              </w:rPr>
              <w:t>a</w:t>
            </w:r>
          </w:p>
        </w:tc>
        <w:tc>
          <w:tcPr>
            <w:tcW w:w="3529" w:type="dxa"/>
            <w:tcBorders>
              <w:tl2br w:val="nil"/>
              <w:tr2bl w:val="nil"/>
            </w:tcBorders>
            <w:shd w:val="clear" w:color="auto" w:fill="auto"/>
            <w:vAlign w:val="center"/>
          </w:tcPr>
          <w:p>
            <w:pPr>
              <w:jc w:val="center"/>
              <w:rPr>
                <w:color w:val="auto"/>
                <w:kern w:val="0"/>
                <w:szCs w:val="21"/>
              </w:rPr>
            </w:pPr>
            <w:r>
              <w:rPr>
                <w:rFonts w:hint="eastAsia"/>
                <w:color w:val="auto"/>
                <w:kern w:val="0"/>
                <w:szCs w:val="21"/>
              </w:rPr>
              <w:t>G</w:t>
            </w:r>
            <w:r>
              <w:rPr>
                <w:color w:val="auto"/>
                <w:kern w:val="0"/>
                <w:szCs w:val="21"/>
              </w:rPr>
              <w:t>B/T 8577-2010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7"/>
              <w:widowControl/>
              <w:numPr>
                <w:ilvl w:val="0"/>
                <w:numId w:val="2"/>
              </w:numPr>
              <w:ind w:firstLineChars="0"/>
              <w:jc w:val="center"/>
              <w:rPr>
                <w:rFonts w:ascii="Times New Roman" w:hAnsi="Times New Roman" w:eastAsia="宋体"/>
                <w:color w:val="auto"/>
                <w:kern w:val="0"/>
                <w:szCs w:val="21"/>
              </w:rPr>
            </w:pPr>
          </w:p>
        </w:tc>
        <w:tc>
          <w:tcPr>
            <w:tcW w:w="4580" w:type="dxa"/>
            <w:tcBorders>
              <w:tl2br w:val="nil"/>
              <w:tr2bl w:val="nil"/>
            </w:tcBorders>
            <w:shd w:val="clear" w:color="auto" w:fill="auto"/>
            <w:vAlign w:val="center"/>
          </w:tcPr>
          <w:p>
            <w:pPr>
              <w:widowControl/>
              <w:jc w:val="center"/>
              <w:rPr>
                <w:color w:val="auto"/>
                <w:kern w:val="0"/>
                <w:szCs w:val="21"/>
              </w:rPr>
            </w:pPr>
            <w:r>
              <w:rPr>
                <w:rFonts w:hint="eastAsia"/>
                <w:color w:val="auto"/>
                <w:kern w:val="0"/>
                <w:szCs w:val="21"/>
              </w:rPr>
              <w:t>钠盐的质量分数(以Na计</w:t>
            </w:r>
            <w:r>
              <w:rPr>
                <w:color w:val="auto"/>
                <w:kern w:val="0"/>
                <w:szCs w:val="21"/>
              </w:rPr>
              <w:t>)</w:t>
            </w:r>
            <w:r>
              <w:rPr>
                <w:rFonts w:hint="eastAsia"/>
                <w:color w:val="auto"/>
                <w:kern w:val="0"/>
                <w:szCs w:val="21"/>
                <w:vertAlign w:val="superscript"/>
              </w:rPr>
              <w:t>b</w:t>
            </w:r>
          </w:p>
        </w:tc>
        <w:tc>
          <w:tcPr>
            <w:tcW w:w="3529" w:type="dxa"/>
            <w:tcBorders>
              <w:tl2br w:val="nil"/>
              <w:tr2bl w:val="nil"/>
            </w:tcBorders>
            <w:shd w:val="clear" w:color="auto" w:fill="auto"/>
            <w:vAlign w:val="center"/>
          </w:tcPr>
          <w:p>
            <w:pPr>
              <w:jc w:val="center"/>
              <w:rPr>
                <w:color w:val="auto"/>
                <w:kern w:val="0"/>
                <w:szCs w:val="21"/>
              </w:rPr>
            </w:pPr>
            <w:r>
              <w:rPr>
                <w:color w:val="auto"/>
                <w:kern w:val="0"/>
                <w:szCs w:val="21"/>
              </w:rPr>
              <w:t>GB/T 2946-2018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7"/>
              <w:widowControl/>
              <w:numPr>
                <w:ilvl w:val="0"/>
                <w:numId w:val="2"/>
              </w:numPr>
              <w:ind w:firstLineChars="0"/>
              <w:jc w:val="center"/>
              <w:rPr>
                <w:rFonts w:ascii="Times New Roman" w:hAnsi="Times New Roman" w:eastAsia="宋体"/>
                <w:color w:val="auto"/>
                <w:kern w:val="0"/>
                <w:szCs w:val="21"/>
              </w:rPr>
            </w:pPr>
          </w:p>
        </w:tc>
        <w:tc>
          <w:tcPr>
            <w:tcW w:w="4580" w:type="dxa"/>
            <w:tcBorders>
              <w:tl2br w:val="nil"/>
              <w:tr2bl w:val="nil"/>
            </w:tcBorders>
            <w:shd w:val="clear" w:color="auto" w:fill="auto"/>
            <w:vAlign w:val="center"/>
          </w:tcPr>
          <w:p>
            <w:pPr>
              <w:widowControl/>
              <w:jc w:val="center"/>
              <w:rPr>
                <w:color w:val="auto"/>
                <w:kern w:val="0"/>
                <w:szCs w:val="21"/>
              </w:rPr>
            </w:pPr>
            <w:r>
              <w:rPr>
                <w:color w:val="auto"/>
                <w:kern w:val="0"/>
                <w:szCs w:val="21"/>
              </w:rPr>
              <w:t>粒度</w:t>
            </w:r>
            <w:r>
              <w:rPr>
                <w:rFonts w:hint="eastAsia"/>
                <w:color w:val="auto"/>
                <w:kern w:val="0"/>
                <w:szCs w:val="21"/>
              </w:rPr>
              <w:t>(</w:t>
            </w:r>
            <w:r>
              <w:rPr>
                <w:color w:val="auto"/>
                <w:kern w:val="0"/>
                <w:szCs w:val="21"/>
              </w:rPr>
              <w:t>2.00</w:t>
            </w:r>
            <w:r>
              <w:rPr>
                <w:rFonts w:hint="eastAsia"/>
                <w:color w:val="auto"/>
                <w:kern w:val="0"/>
                <w:szCs w:val="21"/>
              </w:rPr>
              <w:t>mm~</w:t>
            </w:r>
            <w:r>
              <w:rPr>
                <w:color w:val="auto"/>
                <w:kern w:val="0"/>
                <w:szCs w:val="21"/>
              </w:rPr>
              <w:t>4.75</w:t>
            </w:r>
            <w:r>
              <w:rPr>
                <w:rFonts w:hint="eastAsia"/>
                <w:color w:val="auto"/>
                <w:kern w:val="0"/>
                <w:szCs w:val="21"/>
              </w:rPr>
              <w:t>mm)</w:t>
            </w:r>
            <w:r>
              <w:rPr>
                <w:rFonts w:hint="eastAsia"/>
                <w:color w:val="auto"/>
                <w:kern w:val="0"/>
                <w:sz w:val="20"/>
                <w:szCs w:val="20"/>
                <w:vertAlign w:val="superscript"/>
              </w:rPr>
              <w:t>c</w:t>
            </w:r>
          </w:p>
        </w:tc>
        <w:tc>
          <w:tcPr>
            <w:tcW w:w="3529" w:type="dxa"/>
            <w:tcBorders>
              <w:tl2br w:val="nil"/>
              <w:tr2bl w:val="nil"/>
            </w:tcBorders>
            <w:shd w:val="clear" w:color="auto" w:fill="auto"/>
            <w:vAlign w:val="center"/>
          </w:tcPr>
          <w:p>
            <w:pPr>
              <w:jc w:val="center"/>
              <w:rPr>
                <w:color w:val="auto"/>
                <w:kern w:val="0"/>
                <w:szCs w:val="21"/>
              </w:rPr>
            </w:pPr>
            <w:r>
              <w:rPr>
                <w:rFonts w:hint="eastAsia"/>
                <w:color w:val="auto"/>
                <w:kern w:val="0"/>
                <w:szCs w:val="21"/>
              </w:rPr>
              <w:t>G</w:t>
            </w:r>
            <w:r>
              <w:rPr>
                <w:color w:val="auto"/>
                <w:kern w:val="0"/>
                <w:szCs w:val="21"/>
              </w:rPr>
              <w:t>B/T 10209.4-2010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7"/>
              <w:widowControl/>
              <w:numPr>
                <w:ilvl w:val="0"/>
                <w:numId w:val="2"/>
              </w:numPr>
              <w:ind w:firstLineChars="0"/>
              <w:jc w:val="center"/>
              <w:rPr>
                <w:rFonts w:ascii="Times New Roman" w:hAnsi="Times New Roman" w:eastAsia="宋体"/>
                <w:color w:val="auto"/>
                <w:kern w:val="0"/>
                <w:szCs w:val="21"/>
              </w:rPr>
            </w:pPr>
          </w:p>
        </w:tc>
        <w:tc>
          <w:tcPr>
            <w:tcW w:w="4580" w:type="dxa"/>
            <w:tcBorders>
              <w:tl2br w:val="nil"/>
              <w:tr2bl w:val="nil"/>
            </w:tcBorders>
            <w:shd w:val="clear" w:color="auto" w:fill="auto"/>
            <w:vAlign w:val="center"/>
          </w:tcPr>
          <w:p>
            <w:pPr>
              <w:widowControl/>
              <w:jc w:val="center"/>
              <w:rPr>
                <w:color w:val="auto"/>
                <w:kern w:val="0"/>
                <w:szCs w:val="21"/>
              </w:rPr>
            </w:pPr>
            <w:r>
              <w:rPr>
                <w:rFonts w:hint="eastAsia"/>
                <w:color w:val="auto"/>
                <w:kern w:val="0"/>
                <w:szCs w:val="21"/>
              </w:rPr>
              <w:t>颗粒平均抗压碎力</w:t>
            </w:r>
            <w:r>
              <w:rPr>
                <w:rFonts w:hint="eastAsia"/>
                <w:color w:val="auto"/>
                <w:kern w:val="0"/>
                <w:sz w:val="20"/>
                <w:szCs w:val="20"/>
                <w:vertAlign w:val="superscript"/>
              </w:rPr>
              <w:t>c</w:t>
            </w:r>
          </w:p>
        </w:tc>
        <w:tc>
          <w:tcPr>
            <w:tcW w:w="3529" w:type="dxa"/>
            <w:tcBorders>
              <w:tl2br w:val="nil"/>
              <w:tr2bl w:val="nil"/>
            </w:tcBorders>
            <w:shd w:val="clear" w:color="auto" w:fill="auto"/>
            <w:vAlign w:val="center"/>
          </w:tcPr>
          <w:p>
            <w:pPr>
              <w:jc w:val="center"/>
              <w:rPr>
                <w:color w:val="auto"/>
                <w:kern w:val="0"/>
                <w:szCs w:val="21"/>
              </w:rPr>
            </w:pPr>
            <w:r>
              <w:rPr>
                <w:color w:val="auto"/>
                <w:kern w:val="0"/>
                <w:szCs w:val="21"/>
              </w:rPr>
              <w:t>GB/T 2946-2018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7"/>
              <w:widowControl/>
              <w:numPr>
                <w:ilvl w:val="0"/>
                <w:numId w:val="2"/>
              </w:numPr>
              <w:ind w:firstLineChars="0"/>
              <w:jc w:val="center"/>
              <w:rPr>
                <w:rFonts w:ascii="Times New Roman" w:hAnsi="Times New Roman" w:eastAsia="宋体"/>
                <w:color w:val="auto"/>
                <w:kern w:val="0"/>
                <w:szCs w:val="21"/>
              </w:rPr>
            </w:pPr>
          </w:p>
        </w:tc>
        <w:tc>
          <w:tcPr>
            <w:tcW w:w="4580" w:type="dxa"/>
            <w:tcBorders>
              <w:tl2br w:val="nil"/>
              <w:tr2bl w:val="nil"/>
            </w:tcBorders>
            <w:shd w:val="clear" w:color="auto" w:fill="auto"/>
            <w:noWrap/>
            <w:vAlign w:val="center"/>
          </w:tcPr>
          <w:p>
            <w:pPr>
              <w:widowControl/>
              <w:jc w:val="center"/>
              <w:rPr>
                <w:color w:val="auto"/>
                <w:kern w:val="0"/>
                <w:szCs w:val="21"/>
              </w:rPr>
            </w:pPr>
            <w:r>
              <w:rPr>
                <w:color w:val="auto"/>
                <w:kern w:val="0"/>
                <w:szCs w:val="21"/>
              </w:rPr>
              <w:t>总砷</w:t>
            </w:r>
          </w:p>
        </w:tc>
        <w:tc>
          <w:tcPr>
            <w:tcW w:w="3529" w:type="dxa"/>
            <w:tcBorders>
              <w:tl2br w:val="nil"/>
              <w:tr2bl w:val="nil"/>
            </w:tcBorders>
            <w:shd w:val="clear" w:color="auto" w:fill="FFFFFF"/>
            <w:vAlign w:val="center"/>
          </w:tcPr>
          <w:p>
            <w:pPr>
              <w:widowControl/>
              <w:jc w:val="center"/>
              <w:rPr>
                <w:color w:val="auto"/>
                <w:kern w:val="0"/>
                <w:szCs w:val="21"/>
              </w:rPr>
            </w:pPr>
            <w:r>
              <w:rPr>
                <w:color w:val="auto"/>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7"/>
              <w:widowControl/>
              <w:numPr>
                <w:ilvl w:val="0"/>
                <w:numId w:val="2"/>
              </w:numPr>
              <w:ind w:firstLineChars="0"/>
              <w:jc w:val="center"/>
              <w:rPr>
                <w:rFonts w:ascii="Times New Roman" w:hAnsi="Times New Roman" w:eastAsia="宋体"/>
                <w:color w:val="auto"/>
                <w:kern w:val="0"/>
                <w:szCs w:val="21"/>
              </w:rPr>
            </w:pPr>
          </w:p>
        </w:tc>
        <w:tc>
          <w:tcPr>
            <w:tcW w:w="4580" w:type="dxa"/>
            <w:tcBorders>
              <w:tl2br w:val="nil"/>
              <w:tr2bl w:val="nil"/>
            </w:tcBorders>
            <w:shd w:val="clear" w:color="auto" w:fill="auto"/>
            <w:noWrap/>
            <w:vAlign w:val="center"/>
          </w:tcPr>
          <w:p>
            <w:pPr>
              <w:widowControl/>
              <w:jc w:val="center"/>
              <w:rPr>
                <w:color w:val="auto"/>
                <w:kern w:val="0"/>
                <w:szCs w:val="21"/>
              </w:rPr>
            </w:pPr>
            <w:r>
              <w:rPr>
                <w:color w:val="auto"/>
                <w:kern w:val="0"/>
                <w:szCs w:val="21"/>
              </w:rPr>
              <w:t>总镉</w:t>
            </w:r>
          </w:p>
        </w:tc>
        <w:tc>
          <w:tcPr>
            <w:tcW w:w="3529" w:type="dxa"/>
            <w:tcBorders>
              <w:tl2br w:val="nil"/>
              <w:tr2bl w:val="nil"/>
            </w:tcBorders>
            <w:shd w:val="clear" w:color="auto" w:fill="FFFFFF"/>
            <w:vAlign w:val="center"/>
          </w:tcPr>
          <w:p>
            <w:pPr>
              <w:widowControl/>
              <w:jc w:val="center"/>
              <w:rPr>
                <w:color w:val="auto"/>
                <w:kern w:val="0"/>
                <w:szCs w:val="21"/>
              </w:rPr>
            </w:pPr>
            <w:r>
              <w:rPr>
                <w:color w:val="auto"/>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7"/>
              <w:widowControl/>
              <w:numPr>
                <w:ilvl w:val="0"/>
                <w:numId w:val="2"/>
              </w:numPr>
              <w:ind w:firstLineChars="0"/>
              <w:jc w:val="center"/>
              <w:rPr>
                <w:rFonts w:ascii="Times New Roman" w:hAnsi="Times New Roman" w:eastAsia="宋体"/>
                <w:color w:val="auto"/>
                <w:kern w:val="0"/>
                <w:szCs w:val="21"/>
              </w:rPr>
            </w:pPr>
          </w:p>
        </w:tc>
        <w:tc>
          <w:tcPr>
            <w:tcW w:w="4580" w:type="dxa"/>
            <w:tcBorders>
              <w:tl2br w:val="nil"/>
              <w:tr2bl w:val="nil"/>
            </w:tcBorders>
            <w:shd w:val="clear" w:color="auto" w:fill="auto"/>
            <w:noWrap/>
            <w:vAlign w:val="center"/>
          </w:tcPr>
          <w:p>
            <w:pPr>
              <w:widowControl/>
              <w:jc w:val="center"/>
              <w:rPr>
                <w:color w:val="auto"/>
                <w:kern w:val="0"/>
                <w:szCs w:val="21"/>
              </w:rPr>
            </w:pPr>
            <w:r>
              <w:rPr>
                <w:color w:val="auto"/>
                <w:kern w:val="0"/>
                <w:szCs w:val="21"/>
              </w:rPr>
              <w:t>总铅</w:t>
            </w:r>
          </w:p>
        </w:tc>
        <w:tc>
          <w:tcPr>
            <w:tcW w:w="3529" w:type="dxa"/>
            <w:tcBorders>
              <w:tl2br w:val="nil"/>
              <w:tr2bl w:val="nil"/>
            </w:tcBorders>
            <w:shd w:val="clear" w:color="auto" w:fill="FFFFFF"/>
            <w:vAlign w:val="center"/>
          </w:tcPr>
          <w:p>
            <w:pPr>
              <w:widowControl/>
              <w:jc w:val="center"/>
              <w:rPr>
                <w:color w:val="auto"/>
                <w:kern w:val="0"/>
                <w:szCs w:val="21"/>
              </w:rPr>
            </w:pPr>
            <w:r>
              <w:rPr>
                <w:color w:val="auto"/>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7"/>
              <w:widowControl/>
              <w:numPr>
                <w:ilvl w:val="0"/>
                <w:numId w:val="2"/>
              </w:numPr>
              <w:ind w:firstLineChars="0"/>
              <w:jc w:val="center"/>
              <w:rPr>
                <w:rFonts w:ascii="Times New Roman" w:hAnsi="Times New Roman" w:eastAsia="宋体"/>
                <w:color w:val="auto"/>
                <w:kern w:val="0"/>
                <w:szCs w:val="21"/>
              </w:rPr>
            </w:pPr>
          </w:p>
        </w:tc>
        <w:tc>
          <w:tcPr>
            <w:tcW w:w="4580" w:type="dxa"/>
            <w:tcBorders>
              <w:tl2br w:val="nil"/>
              <w:tr2bl w:val="nil"/>
            </w:tcBorders>
            <w:shd w:val="clear" w:color="auto" w:fill="auto"/>
            <w:noWrap/>
            <w:vAlign w:val="center"/>
          </w:tcPr>
          <w:p>
            <w:pPr>
              <w:widowControl/>
              <w:jc w:val="center"/>
              <w:rPr>
                <w:color w:val="auto"/>
                <w:kern w:val="0"/>
                <w:szCs w:val="21"/>
              </w:rPr>
            </w:pPr>
            <w:r>
              <w:rPr>
                <w:color w:val="auto"/>
                <w:kern w:val="0"/>
                <w:szCs w:val="21"/>
              </w:rPr>
              <w:t>总铬</w:t>
            </w:r>
          </w:p>
        </w:tc>
        <w:tc>
          <w:tcPr>
            <w:tcW w:w="3529" w:type="dxa"/>
            <w:tcBorders>
              <w:tl2br w:val="nil"/>
              <w:tr2bl w:val="nil"/>
            </w:tcBorders>
            <w:shd w:val="clear" w:color="auto" w:fill="FFFFFF"/>
            <w:vAlign w:val="center"/>
          </w:tcPr>
          <w:p>
            <w:pPr>
              <w:widowControl/>
              <w:jc w:val="center"/>
              <w:rPr>
                <w:color w:val="auto"/>
                <w:kern w:val="0"/>
                <w:szCs w:val="21"/>
              </w:rPr>
            </w:pPr>
            <w:r>
              <w:rPr>
                <w:color w:val="auto"/>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7"/>
              <w:widowControl/>
              <w:numPr>
                <w:ilvl w:val="0"/>
                <w:numId w:val="2"/>
              </w:numPr>
              <w:ind w:firstLineChars="0"/>
              <w:jc w:val="center"/>
              <w:rPr>
                <w:rFonts w:ascii="Times New Roman" w:hAnsi="Times New Roman" w:eastAsia="宋体"/>
                <w:color w:val="auto"/>
                <w:kern w:val="0"/>
                <w:szCs w:val="21"/>
              </w:rPr>
            </w:pPr>
          </w:p>
        </w:tc>
        <w:tc>
          <w:tcPr>
            <w:tcW w:w="4580" w:type="dxa"/>
            <w:tcBorders>
              <w:tl2br w:val="nil"/>
              <w:tr2bl w:val="nil"/>
            </w:tcBorders>
            <w:shd w:val="clear" w:color="auto" w:fill="auto"/>
            <w:noWrap/>
            <w:vAlign w:val="center"/>
          </w:tcPr>
          <w:p>
            <w:pPr>
              <w:widowControl/>
              <w:jc w:val="center"/>
              <w:rPr>
                <w:color w:val="auto"/>
                <w:kern w:val="0"/>
                <w:szCs w:val="21"/>
              </w:rPr>
            </w:pPr>
            <w:r>
              <w:rPr>
                <w:color w:val="auto"/>
                <w:kern w:val="0"/>
                <w:szCs w:val="21"/>
              </w:rPr>
              <w:t>总汞</w:t>
            </w:r>
          </w:p>
        </w:tc>
        <w:tc>
          <w:tcPr>
            <w:tcW w:w="3529" w:type="dxa"/>
            <w:tcBorders>
              <w:tl2br w:val="nil"/>
              <w:tr2bl w:val="nil"/>
            </w:tcBorders>
            <w:shd w:val="clear" w:color="auto" w:fill="FFFFFF"/>
            <w:vAlign w:val="center"/>
          </w:tcPr>
          <w:p>
            <w:pPr>
              <w:widowControl/>
              <w:jc w:val="center"/>
              <w:rPr>
                <w:color w:val="auto"/>
                <w:kern w:val="0"/>
                <w:szCs w:val="21"/>
              </w:rPr>
            </w:pPr>
            <w:r>
              <w:rPr>
                <w:color w:val="auto"/>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7"/>
              <w:widowControl/>
              <w:numPr>
                <w:ilvl w:val="0"/>
                <w:numId w:val="2"/>
              </w:numPr>
              <w:ind w:firstLineChars="0"/>
              <w:jc w:val="center"/>
              <w:rPr>
                <w:rFonts w:ascii="Times New Roman" w:hAnsi="Times New Roman" w:eastAsia="宋体"/>
                <w:color w:val="auto"/>
                <w:kern w:val="0"/>
                <w:szCs w:val="21"/>
              </w:rPr>
            </w:pPr>
          </w:p>
        </w:tc>
        <w:tc>
          <w:tcPr>
            <w:tcW w:w="4580" w:type="dxa"/>
            <w:tcBorders>
              <w:tl2br w:val="nil"/>
              <w:tr2bl w:val="nil"/>
            </w:tcBorders>
            <w:shd w:val="clear" w:color="auto" w:fill="auto"/>
            <w:noWrap/>
            <w:vAlign w:val="center"/>
          </w:tcPr>
          <w:p>
            <w:pPr>
              <w:widowControl/>
              <w:jc w:val="center"/>
              <w:rPr>
                <w:color w:val="auto"/>
                <w:kern w:val="0"/>
                <w:szCs w:val="21"/>
              </w:rPr>
            </w:pPr>
            <w:r>
              <w:rPr>
                <w:color w:val="auto"/>
                <w:kern w:val="0"/>
                <w:szCs w:val="21"/>
              </w:rPr>
              <w:t>总铊</w:t>
            </w:r>
          </w:p>
        </w:tc>
        <w:tc>
          <w:tcPr>
            <w:tcW w:w="3529" w:type="dxa"/>
            <w:tcBorders>
              <w:tl2br w:val="nil"/>
              <w:tr2bl w:val="nil"/>
            </w:tcBorders>
            <w:shd w:val="clear" w:color="auto" w:fill="auto"/>
            <w:vAlign w:val="center"/>
          </w:tcPr>
          <w:p>
            <w:pPr>
              <w:widowControl/>
              <w:jc w:val="center"/>
              <w:rPr>
                <w:color w:val="auto"/>
                <w:kern w:val="0"/>
                <w:szCs w:val="21"/>
              </w:rPr>
            </w:pPr>
            <w:r>
              <w:rPr>
                <w:color w:val="auto"/>
                <w:kern w:val="0"/>
                <w:szCs w:val="21"/>
              </w:rPr>
              <w:t>GB 38400-2019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7"/>
              <w:widowControl/>
              <w:numPr>
                <w:ilvl w:val="0"/>
                <w:numId w:val="2"/>
              </w:numPr>
              <w:ind w:firstLineChars="0"/>
              <w:jc w:val="center"/>
              <w:rPr>
                <w:rFonts w:ascii="Times New Roman" w:hAnsi="Times New Roman" w:eastAsia="宋体"/>
                <w:color w:val="auto"/>
                <w:kern w:val="0"/>
                <w:szCs w:val="21"/>
              </w:rPr>
            </w:pPr>
          </w:p>
        </w:tc>
        <w:tc>
          <w:tcPr>
            <w:tcW w:w="4580" w:type="dxa"/>
            <w:tcBorders>
              <w:tl2br w:val="nil"/>
              <w:tr2bl w:val="nil"/>
            </w:tcBorders>
            <w:shd w:val="clear" w:color="auto" w:fill="auto"/>
            <w:noWrap/>
            <w:vAlign w:val="center"/>
          </w:tcPr>
          <w:p>
            <w:pPr>
              <w:widowControl/>
              <w:jc w:val="center"/>
              <w:rPr>
                <w:color w:val="auto"/>
                <w:kern w:val="0"/>
                <w:szCs w:val="21"/>
              </w:rPr>
            </w:pPr>
            <w:r>
              <w:rPr>
                <w:rFonts w:hint="eastAsia"/>
                <w:color w:val="auto"/>
                <w:kern w:val="0"/>
                <w:szCs w:val="21"/>
              </w:rPr>
              <w:t>缩二脲</w:t>
            </w:r>
          </w:p>
        </w:tc>
        <w:tc>
          <w:tcPr>
            <w:tcW w:w="3529" w:type="dxa"/>
            <w:tcBorders>
              <w:tl2br w:val="nil"/>
              <w:tr2bl w:val="nil"/>
            </w:tcBorders>
            <w:shd w:val="clear" w:color="auto" w:fill="auto"/>
            <w:vAlign w:val="center"/>
          </w:tcPr>
          <w:p>
            <w:pPr>
              <w:widowControl/>
              <w:jc w:val="center"/>
              <w:rPr>
                <w:rFonts w:hint="default"/>
                <w:color w:val="auto"/>
                <w:kern w:val="0"/>
                <w:szCs w:val="21"/>
                <w:lang w:val="en-US" w:eastAsia="zh-CN"/>
              </w:rPr>
            </w:pPr>
            <w:r>
              <w:rPr>
                <w:rFonts w:hint="eastAsia"/>
                <w:color w:val="auto"/>
                <w:kern w:val="0"/>
                <w:szCs w:val="21"/>
              </w:rPr>
              <w:t>GB/T 22924—20</w:t>
            </w:r>
            <w:r>
              <w:rPr>
                <w:rFonts w:hint="eastAsia"/>
                <w:color w:val="auto"/>
                <w:kern w:val="0"/>
                <w:szCs w:val="21"/>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699" w:type="dxa"/>
            <w:tcBorders>
              <w:tl2br w:val="nil"/>
              <w:tr2bl w:val="nil"/>
            </w:tcBorders>
            <w:shd w:val="clear" w:color="auto" w:fill="auto"/>
            <w:vAlign w:val="center"/>
          </w:tcPr>
          <w:p>
            <w:pPr>
              <w:pStyle w:val="17"/>
              <w:widowControl/>
              <w:numPr>
                <w:ilvl w:val="0"/>
                <w:numId w:val="2"/>
              </w:numPr>
              <w:ind w:firstLineChars="0"/>
              <w:jc w:val="center"/>
              <w:rPr>
                <w:rFonts w:ascii="Times New Roman" w:hAnsi="Times New Roman" w:eastAsia="宋体"/>
                <w:color w:val="auto"/>
                <w:kern w:val="0"/>
                <w:szCs w:val="21"/>
              </w:rPr>
            </w:pPr>
          </w:p>
        </w:tc>
        <w:tc>
          <w:tcPr>
            <w:tcW w:w="4580" w:type="dxa"/>
            <w:tcBorders>
              <w:tl2br w:val="nil"/>
              <w:tr2bl w:val="nil"/>
            </w:tcBorders>
            <w:shd w:val="clear" w:color="auto" w:fill="auto"/>
            <w:vAlign w:val="center"/>
          </w:tcPr>
          <w:p>
            <w:pPr>
              <w:widowControl/>
              <w:jc w:val="center"/>
              <w:rPr>
                <w:color w:val="auto"/>
                <w:kern w:val="0"/>
                <w:szCs w:val="21"/>
              </w:rPr>
            </w:pPr>
            <w:r>
              <w:rPr>
                <w:color w:val="auto"/>
                <w:kern w:val="0"/>
                <w:szCs w:val="21"/>
              </w:rPr>
              <w:t>包装标识（养分含量、名称中的禁用语</w:t>
            </w:r>
            <w:r>
              <w:rPr>
                <w:rFonts w:hint="eastAsia"/>
                <w:color w:val="auto"/>
                <w:kern w:val="0"/>
                <w:szCs w:val="21"/>
              </w:rPr>
              <w:t>等</w:t>
            </w:r>
            <w:r>
              <w:rPr>
                <w:color w:val="auto"/>
                <w:kern w:val="0"/>
                <w:szCs w:val="21"/>
              </w:rPr>
              <w:t>）</w:t>
            </w:r>
          </w:p>
        </w:tc>
        <w:tc>
          <w:tcPr>
            <w:tcW w:w="3529" w:type="dxa"/>
            <w:tcBorders>
              <w:tl2br w:val="nil"/>
              <w:tr2bl w:val="nil"/>
            </w:tcBorders>
            <w:shd w:val="clear" w:color="auto" w:fill="auto"/>
            <w:vAlign w:val="center"/>
          </w:tcPr>
          <w:p>
            <w:pPr>
              <w:widowControl/>
              <w:jc w:val="center"/>
              <w:rPr>
                <w:color w:val="auto"/>
                <w:kern w:val="0"/>
                <w:szCs w:val="21"/>
              </w:rPr>
            </w:pPr>
            <w:r>
              <w:rPr>
                <w:color w:val="auto"/>
                <w:kern w:val="0"/>
                <w:szCs w:val="21"/>
              </w:rPr>
              <w:t>GB 18382-2021</w:t>
            </w:r>
          </w:p>
          <w:p>
            <w:pPr>
              <w:jc w:val="center"/>
              <w:rPr>
                <w:color w:val="auto"/>
                <w:kern w:val="0"/>
                <w:szCs w:val="21"/>
              </w:rPr>
            </w:pPr>
            <w:r>
              <w:rPr>
                <w:color w:val="auto"/>
                <w:kern w:val="0"/>
                <w:szCs w:val="21"/>
              </w:rPr>
              <w:t>GB/T 2946</w:t>
            </w:r>
            <w:r>
              <w:rPr>
                <w:rFonts w:hint="eastAsia"/>
                <w:color w:val="auto"/>
                <w:kern w:val="0"/>
                <w:szCs w:val="21"/>
              </w:rPr>
              <w:t>-</w:t>
            </w:r>
            <w:r>
              <w:rPr>
                <w:color w:val="auto"/>
                <w:kern w:val="0"/>
                <w:szCs w:val="21"/>
              </w:rPr>
              <w:t>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8808" w:type="dxa"/>
            <w:gridSpan w:val="3"/>
            <w:tcBorders>
              <w:tl2br w:val="nil"/>
              <w:tr2bl w:val="nil"/>
            </w:tcBorders>
            <w:shd w:val="clear" w:color="auto" w:fill="auto"/>
            <w:vAlign w:val="center"/>
          </w:tcPr>
          <w:p>
            <w:pPr>
              <w:rPr>
                <w:color w:val="auto"/>
                <w:kern w:val="0"/>
                <w:szCs w:val="21"/>
              </w:rPr>
            </w:pPr>
            <w:r>
              <w:rPr>
                <w:rFonts w:hint="eastAsia" w:ascii="Times New Roman" w:hAnsi="Times New Roman" w:eastAsia="宋体" w:cs="Times New Roman"/>
                <w:color w:val="auto"/>
                <w:kern w:val="0"/>
                <w:szCs w:val="21"/>
              </w:rPr>
              <w:t xml:space="preserve">a </w:t>
            </w:r>
            <w:r>
              <w:rPr>
                <w:rFonts w:hint="eastAsia"/>
                <w:color w:val="auto"/>
                <w:kern w:val="0"/>
                <w:szCs w:val="21"/>
              </w:rPr>
              <w:t>水的质量分数仅在生产企业检验和生产领域质量抽查检验时进行判定。</w:t>
            </w:r>
          </w:p>
          <w:p>
            <w:pPr>
              <w:rPr>
                <w:color w:val="auto"/>
                <w:kern w:val="0"/>
                <w:szCs w:val="21"/>
              </w:rPr>
            </w:pPr>
            <w:r>
              <w:rPr>
                <w:rFonts w:hint="eastAsia"/>
                <w:color w:val="auto"/>
                <w:kern w:val="0"/>
                <w:szCs w:val="21"/>
              </w:rPr>
              <w:t>b钠盐的质量分数以干基计。</w:t>
            </w:r>
          </w:p>
          <w:p>
            <w:pPr>
              <w:rPr>
                <w:color w:val="auto"/>
                <w:kern w:val="0"/>
                <w:szCs w:val="21"/>
              </w:rPr>
            </w:pPr>
            <w:r>
              <w:rPr>
                <w:rFonts w:hint="eastAsia"/>
                <w:color w:val="auto"/>
                <w:kern w:val="0"/>
                <w:szCs w:val="21"/>
              </w:rPr>
              <w:t>c结晶状产品无粒度和颗粒平均抗压碎力要求。</w:t>
            </w:r>
          </w:p>
        </w:tc>
      </w:tr>
    </w:tbl>
    <w:p>
      <w:pPr>
        <w:adjustRightInd w:val="0"/>
        <w:snapToGrid w:val="0"/>
        <w:spacing w:line="440" w:lineRule="exact"/>
        <w:jc w:val="center"/>
        <w:rPr>
          <w:rFonts w:hint="eastAsia" w:ascii="黑体" w:hAnsi="黑体" w:eastAsia="黑体" w:cs="黑体"/>
          <w:bCs/>
          <w:color w:val="auto"/>
          <w:szCs w:val="21"/>
          <w:lang w:eastAsia="zh-CN"/>
        </w:rPr>
      </w:pPr>
      <w:r>
        <w:rPr>
          <w:rFonts w:hint="eastAsia" w:ascii="黑体" w:hAnsi="黑体" w:eastAsia="黑体" w:cs="黑体"/>
          <w:bCs/>
          <w:color w:val="auto"/>
          <w:szCs w:val="21"/>
        </w:rPr>
        <w:t>表3</w:t>
      </w:r>
      <w:r>
        <w:rPr>
          <w:rFonts w:hint="eastAsia" w:ascii="黑体" w:hAnsi="黑体" w:eastAsia="黑体" w:cs="黑体"/>
          <w:bCs/>
          <w:color w:val="auto"/>
          <w:szCs w:val="21"/>
          <w:lang w:val="en-US" w:eastAsia="zh-CN"/>
        </w:rPr>
        <w:t xml:space="preserve"> </w:t>
      </w:r>
      <w:r>
        <w:rPr>
          <w:rFonts w:hint="eastAsia" w:ascii="黑体" w:hAnsi="黑体" w:eastAsia="黑体" w:cs="黑体"/>
          <w:bCs/>
          <w:color w:val="auto"/>
          <w:szCs w:val="21"/>
        </w:rPr>
        <w:t>肥料级硫酸铵</w:t>
      </w:r>
    </w:p>
    <w:tbl>
      <w:tblPr>
        <w:tblStyle w:val="8"/>
        <w:tblW w:w="4911" w:type="pct"/>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2"/>
        <w:gridCol w:w="4552"/>
        <w:gridCol w:w="3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blHeader/>
        </w:trPr>
        <w:tc>
          <w:tcPr>
            <w:tcW w:w="401" w:type="pct"/>
            <w:tcBorders>
              <w:tl2br w:val="nil"/>
              <w:tr2bl w:val="nil"/>
            </w:tcBorders>
            <w:shd w:val="clear" w:color="auto" w:fill="auto"/>
            <w:vAlign w:val="center"/>
          </w:tcPr>
          <w:p>
            <w:pPr>
              <w:widowControl/>
              <w:jc w:val="center"/>
              <w:rPr>
                <w:rFonts w:hint="eastAsia" w:ascii="黑体" w:hAnsi="黑体" w:eastAsia="黑体" w:cs="黑体"/>
                <w:color w:val="auto"/>
                <w:kern w:val="0"/>
                <w:szCs w:val="21"/>
              </w:rPr>
            </w:pPr>
            <w:r>
              <w:rPr>
                <w:rFonts w:hint="eastAsia" w:ascii="黑体" w:hAnsi="黑体" w:eastAsia="黑体" w:cs="黑体"/>
                <w:color w:val="auto"/>
                <w:kern w:val="0"/>
                <w:szCs w:val="21"/>
              </w:rPr>
              <w:t>序号</w:t>
            </w:r>
          </w:p>
        </w:tc>
        <w:tc>
          <w:tcPr>
            <w:tcW w:w="2525" w:type="pct"/>
            <w:tcBorders>
              <w:tl2br w:val="nil"/>
              <w:tr2bl w:val="nil"/>
            </w:tcBorders>
            <w:shd w:val="clear" w:color="auto" w:fill="auto"/>
            <w:vAlign w:val="center"/>
          </w:tcPr>
          <w:p>
            <w:pPr>
              <w:widowControl/>
              <w:jc w:val="center"/>
              <w:rPr>
                <w:rFonts w:hint="eastAsia" w:ascii="黑体" w:hAnsi="黑体" w:eastAsia="黑体" w:cs="黑体"/>
                <w:color w:val="auto"/>
                <w:kern w:val="0"/>
                <w:szCs w:val="21"/>
              </w:rPr>
            </w:pPr>
            <w:r>
              <w:rPr>
                <w:rFonts w:hint="eastAsia" w:ascii="黑体" w:hAnsi="黑体" w:eastAsia="黑体" w:cs="黑体"/>
                <w:color w:val="auto"/>
                <w:kern w:val="0"/>
                <w:szCs w:val="21"/>
              </w:rPr>
              <w:t>检验项目</w:t>
            </w:r>
          </w:p>
        </w:tc>
        <w:tc>
          <w:tcPr>
            <w:tcW w:w="2073" w:type="pct"/>
            <w:tcBorders>
              <w:tl2br w:val="nil"/>
              <w:tr2bl w:val="nil"/>
            </w:tcBorders>
            <w:shd w:val="clear" w:color="auto" w:fill="auto"/>
            <w:vAlign w:val="center"/>
          </w:tcPr>
          <w:p>
            <w:pPr>
              <w:widowControl/>
              <w:jc w:val="center"/>
              <w:rPr>
                <w:rFonts w:hint="eastAsia" w:ascii="黑体" w:hAnsi="黑体" w:eastAsia="黑体" w:cs="黑体"/>
                <w:color w:val="auto"/>
                <w:kern w:val="0"/>
                <w:szCs w:val="21"/>
              </w:rPr>
            </w:pPr>
            <w:r>
              <w:rPr>
                <w:rFonts w:hint="eastAsia" w:ascii="黑体" w:hAnsi="黑体" w:eastAsia="黑体" w:cs="黑体"/>
                <w:color w:val="auto"/>
                <w:kern w:val="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401" w:type="pct"/>
            <w:tcBorders>
              <w:tl2br w:val="nil"/>
              <w:tr2bl w:val="nil"/>
            </w:tcBorders>
            <w:shd w:val="clear" w:color="auto" w:fill="auto"/>
            <w:vAlign w:val="center"/>
          </w:tcPr>
          <w:p>
            <w:pPr>
              <w:pStyle w:val="17"/>
              <w:widowControl/>
              <w:numPr>
                <w:ilvl w:val="0"/>
                <w:numId w:val="3"/>
              </w:numPr>
              <w:ind w:firstLineChars="0"/>
              <w:jc w:val="center"/>
              <w:rPr>
                <w:rFonts w:ascii="Times New Roman" w:hAnsi="Times New Roman" w:eastAsia="宋体"/>
                <w:color w:val="auto"/>
                <w:kern w:val="0"/>
                <w:szCs w:val="21"/>
              </w:rPr>
            </w:pPr>
            <w:bookmarkStart w:id="1" w:name="_GoBack" w:colFirst="2" w:colLast="2"/>
          </w:p>
        </w:tc>
        <w:tc>
          <w:tcPr>
            <w:tcW w:w="2525" w:type="pct"/>
            <w:tcBorders>
              <w:tl2br w:val="nil"/>
              <w:tr2bl w:val="nil"/>
            </w:tcBorders>
            <w:shd w:val="clear" w:color="auto" w:fill="auto"/>
            <w:vAlign w:val="center"/>
          </w:tcPr>
          <w:p>
            <w:pPr>
              <w:widowControl/>
              <w:jc w:val="center"/>
              <w:rPr>
                <w:color w:val="auto"/>
                <w:kern w:val="0"/>
                <w:szCs w:val="21"/>
              </w:rPr>
            </w:pPr>
            <w:r>
              <w:rPr>
                <w:color w:val="auto"/>
                <w:kern w:val="0"/>
                <w:szCs w:val="21"/>
              </w:rPr>
              <w:t>氮(N</w:t>
            </w:r>
            <w:r>
              <w:rPr>
                <w:rFonts w:hint="eastAsia"/>
                <w:color w:val="auto"/>
                <w:kern w:val="0"/>
                <w:szCs w:val="21"/>
              </w:rPr>
              <w:t>)</w:t>
            </w:r>
          </w:p>
        </w:tc>
        <w:tc>
          <w:tcPr>
            <w:tcW w:w="2073" w:type="pct"/>
            <w:tcBorders>
              <w:tl2br w:val="nil"/>
              <w:tr2bl w:val="nil"/>
            </w:tcBorders>
            <w:shd w:val="clear" w:color="auto" w:fill="auto"/>
            <w:vAlign w:val="center"/>
          </w:tcPr>
          <w:p>
            <w:pPr>
              <w:widowControl/>
              <w:jc w:val="center"/>
              <w:rPr>
                <w:rFonts w:hint="default" w:ascii="Times New Roman" w:hAnsi="Times New Roman" w:cs="Times New Roman"/>
                <w:color w:val="auto"/>
                <w:kern w:val="0"/>
                <w:szCs w:val="21"/>
              </w:rPr>
            </w:pPr>
            <w:r>
              <w:rPr>
                <w:rFonts w:hint="default" w:ascii="Times New Roman" w:hAnsi="Times New Roman" w:cs="Times New Roman"/>
                <w:color w:val="auto"/>
                <w:kern w:val="0"/>
                <w:szCs w:val="21"/>
              </w:rPr>
              <w:t>GB/T 535-2020（含第1号修改单</w:t>
            </w:r>
            <w:r>
              <w:rPr>
                <w:rFonts w:hint="default" w:ascii="Times New Roman" w:hAnsi="Times New Roman" w:cs="Times New Roman"/>
                <w:color w:val="auto"/>
                <w:kern w:val="0"/>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401" w:type="pct"/>
            <w:tcBorders>
              <w:tl2br w:val="nil"/>
              <w:tr2bl w:val="nil"/>
            </w:tcBorders>
            <w:shd w:val="clear" w:color="auto" w:fill="auto"/>
            <w:vAlign w:val="center"/>
          </w:tcPr>
          <w:p>
            <w:pPr>
              <w:pStyle w:val="17"/>
              <w:widowControl/>
              <w:numPr>
                <w:ilvl w:val="0"/>
                <w:numId w:val="3"/>
              </w:numPr>
              <w:ind w:firstLineChars="0"/>
              <w:jc w:val="center"/>
              <w:rPr>
                <w:rFonts w:ascii="Times New Roman" w:hAnsi="Times New Roman" w:eastAsia="宋体"/>
                <w:color w:val="auto"/>
                <w:kern w:val="0"/>
                <w:szCs w:val="21"/>
              </w:rPr>
            </w:pPr>
          </w:p>
        </w:tc>
        <w:tc>
          <w:tcPr>
            <w:tcW w:w="2525" w:type="pct"/>
            <w:tcBorders>
              <w:tl2br w:val="nil"/>
              <w:tr2bl w:val="nil"/>
            </w:tcBorders>
            <w:shd w:val="clear" w:color="auto" w:fill="auto"/>
            <w:vAlign w:val="center"/>
          </w:tcPr>
          <w:p>
            <w:pPr>
              <w:widowControl/>
              <w:jc w:val="center"/>
              <w:rPr>
                <w:color w:val="auto"/>
                <w:kern w:val="0"/>
                <w:szCs w:val="21"/>
              </w:rPr>
            </w:pPr>
            <w:r>
              <w:rPr>
                <w:rFonts w:hint="eastAsia"/>
                <w:color w:val="auto"/>
                <w:kern w:val="0"/>
                <w:szCs w:val="21"/>
              </w:rPr>
              <w:t>硫(</w:t>
            </w:r>
            <w:r>
              <w:rPr>
                <w:color w:val="auto"/>
                <w:kern w:val="0"/>
                <w:szCs w:val="21"/>
              </w:rPr>
              <w:t>S)</w:t>
            </w:r>
          </w:p>
        </w:tc>
        <w:tc>
          <w:tcPr>
            <w:tcW w:w="2073" w:type="pct"/>
            <w:tcBorders>
              <w:tl2br w:val="nil"/>
              <w:tr2bl w:val="nil"/>
            </w:tcBorders>
            <w:shd w:val="clear" w:color="auto" w:fill="auto"/>
            <w:vAlign w:val="center"/>
          </w:tcPr>
          <w:p>
            <w:pPr>
              <w:jc w:val="center"/>
              <w:rPr>
                <w:rFonts w:hint="default" w:ascii="Times New Roman" w:hAnsi="Times New Roman" w:cs="Times New Roman"/>
                <w:color w:val="auto"/>
                <w:kern w:val="0"/>
                <w:szCs w:val="21"/>
              </w:rPr>
            </w:pPr>
            <w:r>
              <w:rPr>
                <w:rFonts w:hint="default" w:ascii="Times New Roman" w:hAnsi="Times New Roman" w:cs="Times New Roman"/>
                <w:bCs/>
                <w:color w:val="auto"/>
                <w:szCs w:val="21"/>
              </w:rPr>
              <w:t>NY/T 1117-2010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401" w:type="pct"/>
            <w:tcBorders>
              <w:tl2br w:val="nil"/>
              <w:tr2bl w:val="nil"/>
            </w:tcBorders>
            <w:shd w:val="clear" w:color="auto" w:fill="auto"/>
            <w:vAlign w:val="center"/>
          </w:tcPr>
          <w:p>
            <w:pPr>
              <w:pStyle w:val="17"/>
              <w:widowControl/>
              <w:numPr>
                <w:ilvl w:val="0"/>
                <w:numId w:val="3"/>
              </w:numPr>
              <w:ind w:firstLineChars="0"/>
              <w:jc w:val="center"/>
              <w:rPr>
                <w:rFonts w:ascii="Times New Roman" w:hAnsi="Times New Roman" w:eastAsia="宋体"/>
                <w:color w:val="auto"/>
                <w:kern w:val="0"/>
                <w:szCs w:val="21"/>
              </w:rPr>
            </w:pPr>
          </w:p>
        </w:tc>
        <w:tc>
          <w:tcPr>
            <w:tcW w:w="2525" w:type="pct"/>
            <w:tcBorders>
              <w:tl2br w:val="nil"/>
              <w:tr2bl w:val="nil"/>
            </w:tcBorders>
            <w:shd w:val="clear" w:color="auto" w:fill="auto"/>
            <w:vAlign w:val="center"/>
          </w:tcPr>
          <w:p>
            <w:pPr>
              <w:widowControl/>
              <w:jc w:val="center"/>
              <w:rPr>
                <w:color w:val="auto"/>
                <w:kern w:val="0"/>
                <w:szCs w:val="21"/>
              </w:rPr>
            </w:pPr>
            <w:r>
              <w:rPr>
                <w:rFonts w:hint="eastAsia"/>
                <w:color w:val="auto"/>
                <w:kern w:val="0"/>
                <w:szCs w:val="21"/>
              </w:rPr>
              <w:t>游离酸(</w:t>
            </w:r>
            <w:r>
              <w:rPr>
                <w:color w:val="auto"/>
                <w:kern w:val="0"/>
                <w:szCs w:val="21"/>
              </w:rPr>
              <w:t>H</w:t>
            </w:r>
            <w:r>
              <w:rPr>
                <w:color w:val="auto"/>
                <w:kern w:val="0"/>
                <w:szCs w:val="21"/>
                <w:vertAlign w:val="subscript"/>
              </w:rPr>
              <w:t>2</w:t>
            </w:r>
            <w:r>
              <w:rPr>
                <w:color w:val="auto"/>
                <w:kern w:val="0"/>
                <w:szCs w:val="21"/>
              </w:rPr>
              <w:t>SO</w:t>
            </w:r>
            <w:r>
              <w:rPr>
                <w:color w:val="auto"/>
                <w:kern w:val="0"/>
                <w:szCs w:val="21"/>
                <w:vertAlign w:val="subscript"/>
              </w:rPr>
              <w:t>4</w:t>
            </w:r>
            <w:r>
              <w:rPr>
                <w:color w:val="auto"/>
                <w:kern w:val="0"/>
                <w:szCs w:val="21"/>
              </w:rPr>
              <w:t>)</w:t>
            </w:r>
          </w:p>
        </w:tc>
        <w:tc>
          <w:tcPr>
            <w:tcW w:w="2073" w:type="pct"/>
            <w:tcBorders>
              <w:tl2br w:val="nil"/>
              <w:tr2bl w:val="nil"/>
            </w:tcBorders>
            <w:shd w:val="clear" w:color="auto" w:fill="auto"/>
            <w:vAlign w:val="center"/>
          </w:tcPr>
          <w:p>
            <w:pPr>
              <w:widowControl/>
              <w:jc w:val="center"/>
              <w:rPr>
                <w:rFonts w:hint="default" w:ascii="Times New Roman" w:hAnsi="Times New Roman" w:eastAsia="宋体" w:cs="Times New Roman"/>
                <w:color w:val="auto"/>
                <w:kern w:val="0"/>
                <w:szCs w:val="21"/>
                <w:lang w:eastAsia="zh-CN"/>
              </w:rPr>
            </w:pPr>
            <w:r>
              <w:rPr>
                <w:rFonts w:hint="default" w:ascii="Times New Roman" w:hAnsi="Times New Roman" w:cs="Times New Roman"/>
                <w:color w:val="auto"/>
                <w:kern w:val="0"/>
                <w:szCs w:val="21"/>
              </w:rPr>
              <w:t>GB/T 535-2020（含第1号修改单</w:t>
            </w:r>
            <w:r>
              <w:rPr>
                <w:rFonts w:hint="default" w:ascii="Times New Roman" w:hAnsi="Times New Roman" w:cs="Times New Roman"/>
                <w:color w:val="auto"/>
                <w:kern w:val="0"/>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401" w:type="pct"/>
            <w:tcBorders>
              <w:tl2br w:val="nil"/>
              <w:tr2bl w:val="nil"/>
            </w:tcBorders>
            <w:shd w:val="clear" w:color="auto" w:fill="auto"/>
            <w:vAlign w:val="center"/>
          </w:tcPr>
          <w:p>
            <w:pPr>
              <w:pStyle w:val="17"/>
              <w:widowControl/>
              <w:numPr>
                <w:ilvl w:val="0"/>
                <w:numId w:val="3"/>
              </w:numPr>
              <w:ind w:firstLineChars="0"/>
              <w:jc w:val="center"/>
              <w:rPr>
                <w:rFonts w:ascii="Times New Roman" w:hAnsi="Times New Roman" w:eastAsia="宋体"/>
                <w:color w:val="auto"/>
                <w:kern w:val="0"/>
                <w:szCs w:val="21"/>
              </w:rPr>
            </w:pPr>
          </w:p>
        </w:tc>
        <w:tc>
          <w:tcPr>
            <w:tcW w:w="2525" w:type="pct"/>
            <w:tcBorders>
              <w:tl2br w:val="nil"/>
              <w:tr2bl w:val="nil"/>
            </w:tcBorders>
            <w:shd w:val="clear" w:color="auto" w:fill="auto"/>
            <w:vAlign w:val="center"/>
          </w:tcPr>
          <w:p>
            <w:pPr>
              <w:widowControl/>
              <w:jc w:val="center"/>
              <w:rPr>
                <w:color w:val="auto"/>
                <w:kern w:val="0"/>
                <w:szCs w:val="21"/>
              </w:rPr>
            </w:pPr>
            <w:r>
              <w:rPr>
                <w:rFonts w:hint="eastAsia"/>
                <w:color w:val="auto"/>
                <w:kern w:val="0"/>
                <w:szCs w:val="21"/>
              </w:rPr>
              <w:t>水分(</w:t>
            </w:r>
            <w:r>
              <w:rPr>
                <w:color w:val="auto"/>
                <w:kern w:val="0"/>
                <w:szCs w:val="21"/>
              </w:rPr>
              <w:t>H</w:t>
            </w:r>
            <w:r>
              <w:rPr>
                <w:color w:val="auto"/>
                <w:kern w:val="0"/>
                <w:szCs w:val="21"/>
                <w:vertAlign w:val="subscript"/>
              </w:rPr>
              <w:t>2</w:t>
            </w:r>
            <w:r>
              <w:rPr>
                <w:color w:val="auto"/>
                <w:kern w:val="0"/>
                <w:szCs w:val="21"/>
              </w:rPr>
              <w:t>O)</w:t>
            </w:r>
          </w:p>
        </w:tc>
        <w:tc>
          <w:tcPr>
            <w:tcW w:w="2073" w:type="pct"/>
            <w:tcBorders>
              <w:tl2br w:val="nil"/>
              <w:tr2bl w:val="nil"/>
            </w:tcBorders>
            <w:shd w:val="clear" w:color="auto" w:fill="auto"/>
            <w:vAlign w:val="center"/>
          </w:tcPr>
          <w:p>
            <w:pPr>
              <w:widowControl/>
              <w:jc w:val="center"/>
              <w:rPr>
                <w:rFonts w:hint="default" w:ascii="Times New Roman" w:hAnsi="Times New Roman" w:eastAsia="宋体" w:cs="Times New Roman"/>
                <w:color w:val="auto"/>
                <w:kern w:val="0"/>
                <w:szCs w:val="21"/>
                <w:lang w:eastAsia="zh-CN"/>
              </w:rPr>
            </w:pPr>
            <w:r>
              <w:rPr>
                <w:rFonts w:hint="default" w:ascii="Times New Roman" w:hAnsi="Times New Roman" w:cs="Times New Roman"/>
                <w:color w:val="auto"/>
                <w:kern w:val="0"/>
                <w:szCs w:val="21"/>
              </w:rPr>
              <w:t>GB/T 535-2020（含第1号修改单</w:t>
            </w:r>
            <w:r>
              <w:rPr>
                <w:rFonts w:hint="default" w:ascii="Times New Roman" w:hAnsi="Times New Roman" w:cs="Times New Roman"/>
                <w:color w:val="auto"/>
                <w:kern w:val="0"/>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401" w:type="pct"/>
            <w:tcBorders>
              <w:tl2br w:val="nil"/>
              <w:tr2bl w:val="nil"/>
            </w:tcBorders>
            <w:shd w:val="clear" w:color="auto" w:fill="auto"/>
            <w:vAlign w:val="center"/>
          </w:tcPr>
          <w:p>
            <w:pPr>
              <w:pStyle w:val="17"/>
              <w:widowControl/>
              <w:numPr>
                <w:ilvl w:val="0"/>
                <w:numId w:val="3"/>
              </w:numPr>
              <w:ind w:firstLineChars="0"/>
              <w:jc w:val="center"/>
              <w:rPr>
                <w:rFonts w:ascii="Times New Roman" w:hAnsi="Times New Roman" w:eastAsia="宋体"/>
                <w:color w:val="auto"/>
                <w:kern w:val="0"/>
                <w:szCs w:val="21"/>
              </w:rPr>
            </w:pPr>
          </w:p>
        </w:tc>
        <w:tc>
          <w:tcPr>
            <w:tcW w:w="2525" w:type="pct"/>
            <w:tcBorders>
              <w:tl2br w:val="nil"/>
              <w:tr2bl w:val="nil"/>
            </w:tcBorders>
            <w:shd w:val="clear" w:color="auto" w:fill="auto"/>
            <w:vAlign w:val="center"/>
          </w:tcPr>
          <w:p>
            <w:pPr>
              <w:widowControl/>
              <w:jc w:val="center"/>
              <w:rPr>
                <w:color w:val="auto"/>
                <w:kern w:val="0"/>
                <w:szCs w:val="21"/>
              </w:rPr>
            </w:pPr>
            <w:r>
              <w:rPr>
                <w:rFonts w:hint="eastAsia"/>
                <w:color w:val="auto"/>
                <w:kern w:val="0"/>
                <w:szCs w:val="21"/>
              </w:rPr>
              <w:t>水不溶物</w:t>
            </w:r>
          </w:p>
        </w:tc>
        <w:tc>
          <w:tcPr>
            <w:tcW w:w="2073" w:type="pct"/>
            <w:tcBorders>
              <w:tl2br w:val="nil"/>
              <w:tr2bl w:val="nil"/>
            </w:tcBorders>
            <w:shd w:val="clear" w:color="auto" w:fill="auto"/>
            <w:vAlign w:val="center"/>
          </w:tcPr>
          <w:p>
            <w:pPr>
              <w:widowControl/>
              <w:jc w:val="center"/>
              <w:rPr>
                <w:rFonts w:hint="default" w:ascii="Times New Roman" w:hAnsi="Times New Roman" w:eastAsia="宋体" w:cs="Times New Roman"/>
                <w:color w:val="auto"/>
                <w:kern w:val="0"/>
                <w:szCs w:val="21"/>
                <w:lang w:eastAsia="zh-CN"/>
              </w:rPr>
            </w:pPr>
            <w:r>
              <w:rPr>
                <w:rFonts w:hint="default" w:ascii="Times New Roman" w:hAnsi="Times New Roman" w:cs="Times New Roman"/>
                <w:color w:val="auto"/>
                <w:kern w:val="0"/>
                <w:szCs w:val="21"/>
              </w:rPr>
              <w:t>GB/T 535-2020（含第1号修改单</w:t>
            </w:r>
            <w:r>
              <w:rPr>
                <w:rFonts w:hint="default" w:ascii="Times New Roman" w:hAnsi="Times New Roman" w:cs="Times New Roman"/>
                <w:color w:val="auto"/>
                <w:kern w:val="0"/>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401" w:type="pct"/>
            <w:tcBorders>
              <w:tl2br w:val="nil"/>
              <w:tr2bl w:val="nil"/>
            </w:tcBorders>
            <w:shd w:val="clear" w:color="auto" w:fill="auto"/>
            <w:vAlign w:val="center"/>
          </w:tcPr>
          <w:p>
            <w:pPr>
              <w:pStyle w:val="17"/>
              <w:widowControl/>
              <w:numPr>
                <w:ilvl w:val="0"/>
                <w:numId w:val="3"/>
              </w:numPr>
              <w:ind w:firstLineChars="0"/>
              <w:jc w:val="center"/>
              <w:rPr>
                <w:rFonts w:ascii="Times New Roman" w:hAnsi="Times New Roman" w:eastAsia="宋体"/>
                <w:color w:val="auto"/>
                <w:kern w:val="0"/>
                <w:szCs w:val="21"/>
              </w:rPr>
            </w:pPr>
          </w:p>
        </w:tc>
        <w:tc>
          <w:tcPr>
            <w:tcW w:w="2525" w:type="pct"/>
            <w:tcBorders>
              <w:tl2br w:val="nil"/>
              <w:tr2bl w:val="nil"/>
            </w:tcBorders>
            <w:shd w:val="clear" w:color="auto" w:fill="auto"/>
            <w:vAlign w:val="center"/>
          </w:tcPr>
          <w:p>
            <w:pPr>
              <w:widowControl/>
              <w:jc w:val="center"/>
              <w:rPr>
                <w:color w:val="auto"/>
                <w:kern w:val="0"/>
                <w:szCs w:val="21"/>
              </w:rPr>
            </w:pPr>
            <w:r>
              <w:rPr>
                <w:rFonts w:hint="eastAsia" w:ascii="宋体" w:hAnsi="宋体"/>
                <w:bCs/>
                <w:color w:val="auto"/>
                <w:szCs w:val="21"/>
              </w:rPr>
              <w:t>氯离子(</w:t>
            </w:r>
            <w:r>
              <w:rPr>
                <w:rFonts w:ascii="宋体" w:hAnsi="宋体"/>
                <w:bCs/>
                <w:color w:val="auto"/>
                <w:szCs w:val="21"/>
              </w:rPr>
              <w:t>Cl</w:t>
            </w:r>
            <w:r>
              <w:rPr>
                <w:rFonts w:ascii="宋体" w:hAnsi="宋体"/>
                <w:bCs/>
                <w:color w:val="auto"/>
                <w:szCs w:val="21"/>
                <w:vertAlign w:val="superscript"/>
              </w:rPr>
              <w:t>-</w:t>
            </w:r>
            <w:r>
              <w:rPr>
                <w:rFonts w:ascii="宋体" w:hAnsi="宋体"/>
                <w:bCs/>
                <w:color w:val="auto"/>
                <w:szCs w:val="21"/>
              </w:rPr>
              <w:t>)</w:t>
            </w:r>
          </w:p>
        </w:tc>
        <w:tc>
          <w:tcPr>
            <w:tcW w:w="2073" w:type="pct"/>
            <w:tcBorders>
              <w:tl2br w:val="nil"/>
              <w:tr2bl w:val="nil"/>
            </w:tcBorders>
            <w:shd w:val="clear" w:color="auto" w:fill="auto"/>
            <w:vAlign w:val="center"/>
          </w:tcPr>
          <w:p>
            <w:pPr>
              <w:widowControl/>
              <w:jc w:val="center"/>
              <w:rPr>
                <w:rFonts w:hint="default" w:ascii="Times New Roman" w:hAnsi="Times New Roman" w:cs="Times New Roman"/>
                <w:color w:val="auto"/>
                <w:kern w:val="0"/>
                <w:szCs w:val="21"/>
                <w:lang w:bidi="ar"/>
              </w:rPr>
            </w:pPr>
            <w:r>
              <w:rPr>
                <w:rFonts w:hint="default" w:ascii="Times New Roman" w:hAnsi="Times New Roman" w:cs="Times New Roman"/>
                <w:color w:val="auto"/>
                <w:kern w:val="0"/>
                <w:szCs w:val="21"/>
                <w:lang w:bidi="ar"/>
              </w:rPr>
              <w:t xml:space="preserve">GB/T 24890-2010            </w:t>
            </w:r>
            <w:r>
              <w:rPr>
                <w:rFonts w:hint="default" w:ascii="Times New Roman" w:hAnsi="Times New Roman" w:cs="Times New Roman"/>
                <w:bCs/>
                <w:color w:val="auto"/>
                <w:szCs w:val="21"/>
              </w:rPr>
              <w:t xml:space="preserve"> </w:t>
            </w:r>
            <w:r>
              <w:rPr>
                <w:rFonts w:hint="default" w:ascii="Times New Roman" w:hAnsi="Times New Roman" w:cs="Times New Roman"/>
                <w:bCs/>
                <w:color w:val="auto"/>
                <w:szCs w:val="21"/>
                <w:lang w:val="en-US" w:eastAsia="zh-CN"/>
              </w:rPr>
              <w:t xml:space="preserve">  </w:t>
            </w:r>
            <w:r>
              <w:rPr>
                <w:rFonts w:hint="default" w:ascii="Times New Roman" w:hAnsi="Times New Roman" w:cs="Times New Roman"/>
                <w:color w:val="auto"/>
                <w:kern w:val="0"/>
                <w:szCs w:val="21"/>
                <w:lang w:bidi="ar"/>
              </w:rPr>
              <w:t>NY/T 1117-2010</w:t>
            </w:r>
          </w:p>
          <w:p>
            <w:pPr>
              <w:widowControl/>
              <w:jc w:val="center"/>
              <w:rPr>
                <w:rFonts w:hint="default" w:ascii="Times New Roman" w:hAnsi="Times New Roman" w:cs="Times New Roman"/>
                <w:color w:val="auto"/>
                <w:kern w:val="0"/>
                <w:szCs w:val="21"/>
                <w:lang w:bidi="ar"/>
              </w:rPr>
            </w:pPr>
            <w:r>
              <w:rPr>
                <w:rFonts w:hint="default" w:ascii="Times New Roman" w:hAnsi="Times New Roman" w:cs="Times New Roman"/>
                <w:bCs/>
                <w:color w:val="auto"/>
                <w:szCs w:val="21"/>
              </w:rPr>
              <w:t>GB/T 29400-2012</w:t>
            </w:r>
          </w:p>
          <w:p>
            <w:pPr>
              <w:widowControl/>
              <w:jc w:val="center"/>
              <w:rPr>
                <w:rFonts w:hint="default" w:ascii="Times New Roman" w:hAnsi="Times New Roman" w:eastAsia="宋体" w:cs="Times New Roman"/>
                <w:bCs/>
                <w:color w:val="auto"/>
                <w:szCs w:val="21"/>
                <w:lang w:eastAsia="zh-CN"/>
              </w:rPr>
            </w:pPr>
            <w:r>
              <w:rPr>
                <w:rFonts w:hint="default" w:ascii="Times New Roman" w:hAnsi="Times New Roman" w:cs="Times New Roman"/>
                <w:color w:val="auto"/>
                <w:kern w:val="0"/>
                <w:szCs w:val="21"/>
              </w:rPr>
              <w:t>GB/T 535-2020（含第1号修改单</w:t>
            </w:r>
            <w:r>
              <w:rPr>
                <w:rFonts w:hint="default" w:ascii="Times New Roman" w:hAnsi="Times New Roman" w:cs="Times New Roman"/>
                <w:color w:val="auto"/>
                <w:kern w:val="0"/>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401" w:type="pct"/>
            <w:tcBorders>
              <w:tl2br w:val="nil"/>
              <w:tr2bl w:val="nil"/>
            </w:tcBorders>
            <w:shd w:val="clear" w:color="auto" w:fill="auto"/>
            <w:vAlign w:val="center"/>
          </w:tcPr>
          <w:p>
            <w:pPr>
              <w:pStyle w:val="17"/>
              <w:widowControl/>
              <w:numPr>
                <w:ilvl w:val="0"/>
                <w:numId w:val="3"/>
              </w:numPr>
              <w:ind w:firstLineChars="0"/>
              <w:jc w:val="center"/>
              <w:rPr>
                <w:rFonts w:ascii="Times New Roman" w:hAnsi="Times New Roman" w:eastAsia="宋体"/>
                <w:color w:val="auto"/>
                <w:kern w:val="0"/>
                <w:szCs w:val="21"/>
              </w:rPr>
            </w:pPr>
          </w:p>
        </w:tc>
        <w:tc>
          <w:tcPr>
            <w:tcW w:w="2525" w:type="pct"/>
            <w:tcBorders>
              <w:tl2br w:val="nil"/>
              <w:tr2bl w:val="nil"/>
            </w:tcBorders>
            <w:shd w:val="clear" w:color="auto" w:fill="auto"/>
            <w:vAlign w:val="center"/>
          </w:tcPr>
          <w:p>
            <w:pPr>
              <w:widowControl/>
              <w:jc w:val="center"/>
              <w:rPr>
                <w:color w:val="auto"/>
                <w:kern w:val="0"/>
                <w:szCs w:val="21"/>
              </w:rPr>
            </w:pPr>
            <w:r>
              <w:rPr>
                <w:rFonts w:hint="eastAsia" w:ascii="宋体" w:hAnsi="宋体"/>
                <w:bCs/>
                <w:color w:val="auto"/>
                <w:szCs w:val="21"/>
              </w:rPr>
              <w:t>氟化物(以F计</w:t>
            </w:r>
            <w:r>
              <w:rPr>
                <w:rFonts w:ascii="宋体" w:hAnsi="宋体"/>
                <w:bCs/>
                <w:color w:val="auto"/>
                <w:szCs w:val="21"/>
              </w:rPr>
              <w:t>)</w:t>
            </w:r>
          </w:p>
        </w:tc>
        <w:tc>
          <w:tcPr>
            <w:tcW w:w="2073" w:type="pct"/>
            <w:tcBorders>
              <w:tl2br w:val="nil"/>
              <w:tr2bl w:val="nil"/>
            </w:tcBorders>
            <w:shd w:val="clear" w:color="auto" w:fill="auto"/>
            <w:vAlign w:val="center"/>
          </w:tcPr>
          <w:p>
            <w:pPr>
              <w:jc w:val="center"/>
              <w:rPr>
                <w:rFonts w:hint="default" w:ascii="Times New Roman" w:hAnsi="Times New Roman" w:eastAsia="宋体" w:cs="Times New Roman"/>
                <w:color w:val="auto"/>
                <w:kern w:val="0"/>
                <w:szCs w:val="21"/>
                <w:lang w:eastAsia="zh-CN"/>
              </w:rPr>
            </w:pPr>
            <w:r>
              <w:rPr>
                <w:rFonts w:hint="default" w:ascii="Times New Roman" w:hAnsi="Times New Roman" w:cs="Times New Roman"/>
                <w:color w:val="auto"/>
                <w:kern w:val="0"/>
                <w:szCs w:val="21"/>
              </w:rPr>
              <w:t>GB/T 535-2020（含第1号修改单</w:t>
            </w:r>
            <w:r>
              <w:rPr>
                <w:rFonts w:hint="default" w:ascii="Times New Roman" w:hAnsi="Times New Roman" w:cs="Times New Roman"/>
                <w:color w:val="auto"/>
                <w:kern w:val="0"/>
                <w:szCs w:val="21"/>
                <w:lang w:eastAsia="zh-CN"/>
              </w:rPr>
              <w:t>）</w:t>
            </w:r>
          </w:p>
        </w:tc>
      </w:tr>
      <w:bookmarkEnd w:id="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401" w:type="pct"/>
            <w:tcBorders>
              <w:tl2br w:val="nil"/>
              <w:tr2bl w:val="nil"/>
            </w:tcBorders>
            <w:shd w:val="clear" w:color="auto" w:fill="auto"/>
            <w:vAlign w:val="center"/>
          </w:tcPr>
          <w:p>
            <w:pPr>
              <w:pStyle w:val="17"/>
              <w:widowControl/>
              <w:numPr>
                <w:ilvl w:val="0"/>
                <w:numId w:val="3"/>
              </w:numPr>
              <w:ind w:firstLineChars="0"/>
              <w:jc w:val="center"/>
              <w:rPr>
                <w:rFonts w:ascii="Times New Roman" w:hAnsi="Times New Roman" w:eastAsia="宋体"/>
                <w:color w:val="auto"/>
                <w:kern w:val="0"/>
                <w:szCs w:val="21"/>
              </w:rPr>
            </w:pPr>
          </w:p>
        </w:tc>
        <w:tc>
          <w:tcPr>
            <w:tcW w:w="2525" w:type="pct"/>
            <w:tcBorders>
              <w:tl2br w:val="nil"/>
              <w:tr2bl w:val="nil"/>
            </w:tcBorders>
            <w:shd w:val="clear" w:color="auto" w:fill="auto"/>
            <w:vAlign w:val="center"/>
          </w:tcPr>
          <w:p>
            <w:pPr>
              <w:widowControl/>
              <w:spacing w:after="0" w:line="300" w:lineRule="exact"/>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bCs/>
                <w:color w:val="auto"/>
                <w:szCs w:val="21"/>
              </w:rPr>
              <w:t>硫氰酸根离子</w:t>
            </w:r>
          </w:p>
        </w:tc>
        <w:tc>
          <w:tcPr>
            <w:tcW w:w="2073" w:type="pct"/>
            <w:tcBorders>
              <w:tl2br w:val="nil"/>
              <w:tr2bl w:val="nil"/>
            </w:tcBorders>
            <w:shd w:val="clear" w:color="auto" w:fill="auto"/>
            <w:vAlign w:val="center"/>
          </w:tcPr>
          <w:p>
            <w:pPr>
              <w:widowControl/>
              <w:spacing w:after="0" w:line="300" w:lineRule="exact"/>
              <w:jc w:val="center"/>
              <w:rPr>
                <w:rFonts w:hint="default" w:ascii="Times New Roman" w:hAnsi="Times New Roman" w:eastAsia="宋体" w:cs="Times New Roman"/>
                <w:color w:val="auto"/>
                <w:kern w:val="2"/>
                <w:sz w:val="21"/>
                <w:szCs w:val="24"/>
                <w:lang w:val="en-US" w:eastAsia="zh-CN" w:bidi="ar-SA"/>
              </w:rPr>
            </w:pPr>
            <w:r>
              <w:rPr>
                <w:rFonts w:hint="default" w:ascii="Times New Roman" w:hAnsi="Times New Roman" w:cs="Times New Roman"/>
                <w:color w:val="auto"/>
                <w:kern w:val="0"/>
                <w:szCs w:val="21"/>
              </w:rPr>
              <w:t>GB/T 535-2020（含第1号修改单</w:t>
            </w:r>
            <w:r>
              <w:rPr>
                <w:rFonts w:hint="default" w:ascii="Times New Roman" w:hAnsi="Times New Roman" w:cs="Times New Roman"/>
                <w:color w:val="auto"/>
                <w:kern w:val="0"/>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401" w:type="pct"/>
            <w:tcBorders>
              <w:tl2br w:val="nil"/>
              <w:tr2bl w:val="nil"/>
            </w:tcBorders>
            <w:shd w:val="clear" w:color="auto" w:fill="auto"/>
            <w:vAlign w:val="center"/>
          </w:tcPr>
          <w:p>
            <w:pPr>
              <w:pStyle w:val="17"/>
              <w:widowControl/>
              <w:numPr>
                <w:ilvl w:val="0"/>
                <w:numId w:val="3"/>
              </w:numPr>
              <w:ind w:firstLineChars="0"/>
              <w:jc w:val="center"/>
              <w:rPr>
                <w:rFonts w:ascii="Times New Roman" w:hAnsi="Times New Roman" w:eastAsia="宋体"/>
                <w:color w:val="auto"/>
                <w:kern w:val="0"/>
                <w:szCs w:val="21"/>
              </w:rPr>
            </w:pPr>
          </w:p>
        </w:tc>
        <w:tc>
          <w:tcPr>
            <w:tcW w:w="2525" w:type="pct"/>
            <w:tcBorders>
              <w:tl2br w:val="nil"/>
              <w:tr2bl w:val="nil"/>
            </w:tcBorders>
            <w:shd w:val="clear" w:color="auto" w:fill="auto"/>
            <w:vAlign w:val="center"/>
          </w:tcPr>
          <w:p>
            <w:pPr>
              <w:widowControl/>
              <w:jc w:val="center"/>
              <w:rPr>
                <w:color w:val="auto"/>
                <w:kern w:val="0"/>
                <w:szCs w:val="21"/>
              </w:rPr>
            </w:pPr>
            <w:r>
              <w:rPr>
                <w:bCs/>
                <w:color w:val="auto"/>
                <w:szCs w:val="21"/>
              </w:rPr>
              <w:t>汞</w:t>
            </w:r>
            <w:r>
              <w:rPr>
                <w:rFonts w:hint="eastAsia"/>
                <w:bCs/>
                <w:color w:val="auto"/>
                <w:szCs w:val="21"/>
              </w:rPr>
              <w:t>(</w:t>
            </w:r>
            <w:r>
              <w:rPr>
                <w:bCs/>
                <w:color w:val="auto"/>
                <w:szCs w:val="21"/>
              </w:rPr>
              <w:t>Hg) (以元素计)</w:t>
            </w:r>
          </w:p>
        </w:tc>
        <w:tc>
          <w:tcPr>
            <w:tcW w:w="2073" w:type="pct"/>
            <w:tcBorders>
              <w:tl2br w:val="nil"/>
              <w:tr2bl w:val="nil"/>
            </w:tcBorders>
            <w:shd w:val="clear" w:color="auto" w:fill="auto"/>
            <w:vAlign w:val="center"/>
          </w:tcPr>
          <w:p>
            <w:pPr>
              <w:widowControl/>
              <w:jc w:val="center"/>
              <w:rPr>
                <w:color w:val="auto"/>
                <w:kern w:val="0"/>
                <w:szCs w:val="21"/>
              </w:rPr>
            </w:pPr>
            <w:r>
              <w:rPr>
                <w:color w:val="auto"/>
              </w:rPr>
              <w:t>NY/T 1978-20</w:t>
            </w:r>
            <w:r>
              <w:rPr>
                <w:rFonts w:hint="eastAsia"/>
                <w:color w:val="auto"/>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401" w:type="pct"/>
            <w:tcBorders>
              <w:tl2br w:val="nil"/>
              <w:tr2bl w:val="nil"/>
            </w:tcBorders>
            <w:shd w:val="clear" w:color="auto" w:fill="auto"/>
            <w:vAlign w:val="center"/>
          </w:tcPr>
          <w:p>
            <w:pPr>
              <w:pStyle w:val="17"/>
              <w:widowControl/>
              <w:numPr>
                <w:ilvl w:val="0"/>
                <w:numId w:val="3"/>
              </w:numPr>
              <w:ind w:firstLineChars="0"/>
              <w:jc w:val="center"/>
              <w:rPr>
                <w:rFonts w:ascii="Times New Roman" w:hAnsi="Times New Roman" w:eastAsia="宋体"/>
                <w:color w:val="auto"/>
                <w:kern w:val="0"/>
                <w:szCs w:val="21"/>
              </w:rPr>
            </w:pPr>
          </w:p>
        </w:tc>
        <w:tc>
          <w:tcPr>
            <w:tcW w:w="2525" w:type="pct"/>
            <w:tcBorders>
              <w:tl2br w:val="nil"/>
              <w:tr2bl w:val="nil"/>
            </w:tcBorders>
            <w:shd w:val="clear" w:color="auto" w:fill="auto"/>
            <w:vAlign w:val="center"/>
          </w:tcPr>
          <w:p>
            <w:pPr>
              <w:widowControl/>
              <w:jc w:val="center"/>
              <w:rPr>
                <w:color w:val="auto"/>
                <w:kern w:val="0"/>
                <w:szCs w:val="21"/>
              </w:rPr>
            </w:pPr>
            <w:r>
              <w:rPr>
                <w:bCs/>
                <w:color w:val="auto"/>
                <w:szCs w:val="21"/>
              </w:rPr>
              <w:t>砷</w:t>
            </w:r>
            <w:r>
              <w:rPr>
                <w:rFonts w:hint="eastAsia"/>
                <w:bCs/>
                <w:color w:val="auto"/>
                <w:szCs w:val="21"/>
              </w:rPr>
              <w:t>(</w:t>
            </w:r>
            <w:r>
              <w:rPr>
                <w:bCs/>
                <w:color w:val="auto"/>
                <w:szCs w:val="21"/>
              </w:rPr>
              <w:t>As</w:t>
            </w:r>
            <w:r>
              <w:rPr>
                <w:rFonts w:hint="eastAsia"/>
                <w:bCs/>
                <w:color w:val="auto"/>
                <w:szCs w:val="21"/>
              </w:rPr>
              <w:t>)</w:t>
            </w:r>
            <w:r>
              <w:rPr>
                <w:bCs/>
                <w:color w:val="auto"/>
                <w:szCs w:val="21"/>
              </w:rPr>
              <w:t xml:space="preserve"> (以元素计)</w:t>
            </w:r>
          </w:p>
        </w:tc>
        <w:tc>
          <w:tcPr>
            <w:tcW w:w="2073" w:type="pct"/>
            <w:tcBorders>
              <w:tl2br w:val="nil"/>
              <w:tr2bl w:val="nil"/>
            </w:tcBorders>
            <w:shd w:val="clear" w:color="auto" w:fill="auto"/>
            <w:vAlign w:val="center"/>
          </w:tcPr>
          <w:p>
            <w:pPr>
              <w:widowControl/>
              <w:jc w:val="center"/>
              <w:rPr>
                <w:color w:val="auto"/>
                <w:kern w:val="0"/>
                <w:szCs w:val="21"/>
              </w:rPr>
            </w:pPr>
            <w:r>
              <w:rPr>
                <w:color w:val="auto"/>
              </w:rPr>
              <w:t>NY/T 1978-20</w:t>
            </w:r>
            <w:r>
              <w:rPr>
                <w:rFonts w:hint="eastAsia"/>
                <w:color w:val="auto"/>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401" w:type="pct"/>
            <w:tcBorders>
              <w:tl2br w:val="nil"/>
              <w:tr2bl w:val="nil"/>
            </w:tcBorders>
            <w:shd w:val="clear" w:color="auto" w:fill="auto"/>
            <w:vAlign w:val="center"/>
          </w:tcPr>
          <w:p>
            <w:pPr>
              <w:pStyle w:val="17"/>
              <w:widowControl/>
              <w:numPr>
                <w:ilvl w:val="0"/>
                <w:numId w:val="3"/>
              </w:numPr>
              <w:ind w:firstLineChars="0"/>
              <w:jc w:val="center"/>
              <w:rPr>
                <w:rFonts w:ascii="Times New Roman" w:hAnsi="Times New Roman" w:eastAsia="宋体"/>
                <w:color w:val="auto"/>
                <w:kern w:val="0"/>
                <w:szCs w:val="21"/>
              </w:rPr>
            </w:pPr>
          </w:p>
        </w:tc>
        <w:tc>
          <w:tcPr>
            <w:tcW w:w="2525" w:type="pct"/>
            <w:tcBorders>
              <w:tl2br w:val="nil"/>
              <w:tr2bl w:val="nil"/>
            </w:tcBorders>
            <w:shd w:val="clear" w:color="auto" w:fill="auto"/>
            <w:vAlign w:val="center"/>
          </w:tcPr>
          <w:p>
            <w:pPr>
              <w:widowControl/>
              <w:jc w:val="center"/>
              <w:rPr>
                <w:color w:val="auto"/>
                <w:kern w:val="0"/>
                <w:szCs w:val="21"/>
              </w:rPr>
            </w:pPr>
            <w:r>
              <w:rPr>
                <w:bCs/>
                <w:color w:val="auto"/>
                <w:szCs w:val="21"/>
              </w:rPr>
              <w:t>镉</w:t>
            </w:r>
            <w:r>
              <w:rPr>
                <w:rFonts w:hint="eastAsia"/>
                <w:bCs/>
                <w:color w:val="auto"/>
                <w:szCs w:val="21"/>
              </w:rPr>
              <w:t>(</w:t>
            </w:r>
            <w:r>
              <w:rPr>
                <w:bCs/>
                <w:color w:val="auto"/>
                <w:szCs w:val="21"/>
              </w:rPr>
              <w:t>Cd</w:t>
            </w:r>
            <w:r>
              <w:rPr>
                <w:rFonts w:hint="eastAsia"/>
                <w:bCs/>
                <w:color w:val="auto"/>
                <w:szCs w:val="21"/>
              </w:rPr>
              <w:t>)</w:t>
            </w:r>
            <w:r>
              <w:rPr>
                <w:bCs/>
                <w:color w:val="auto"/>
                <w:szCs w:val="21"/>
              </w:rPr>
              <w:t xml:space="preserve"> (以元素计)</w:t>
            </w:r>
          </w:p>
        </w:tc>
        <w:tc>
          <w:tcPr>
            <w:tcW w:w="2073" w:type="pct"/>
            <w:tcBorders>
              <w:tl2br w:val="nil"/>
              <w:tr2bl w:val="nil"/>
            </w:tcBorders>
            <w:shd w:val="clear" w:color="auto" w:fill="auto"/>
            <w:vAlign w:val="center"/>
          </w:tcPr>
          <w:p>
            <w:pPr>
              <w:widowControl/>
              <w:jc w:val="center"/>
              <w:rPr>
                <w:color w:val="auto"/>
                <w:kern w:val="0"/>
                <w:szCs w:val="21"/>
              </w:rPr>
            </w:pPr>
            <w:r>
              <w:rPr>
                <w:color w:val="auto"/>
              </w:rPr>
              <w:t>NY/T 1978-20</w:t>
            </w:r>
            <w:r>
              <w:rPr>
                <w:rFonts w:hint="eastAsia"/>
                <w:color w:val="auto"/>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401" w:type="pct"/>
            <w:tcBorders>
              <w:tl2br w:val="nil"/>
              <w:tr2bl w:val="nil"/>
            </w:tcBorders>
            <w:shd w:val="clear" w:color="auto" w:fill="auto"/>
            <w:vAlign w:val="center"/>
          </w:tcPr>
          <w:p>
            <w:pPr>
              <w:pStyle w:val="17"/>
              <w:widowControl/>
              <w:numPr>
                <w:ilvl w:val="0"/>
                <w:numId w:val="3"/>
              </w:numPr>
              <w:ind w:firstLineChars="0"/>
              <w:jc w:val="center"/>
              <w:rPr>
                <w:rFonts w:ascii="Times New Roman" w:hAnsi="Times New Roman" w:eastAsia="宋体"/>
                <w:color w:val="auto"/>
                <w:kern w:val="0"/>
                <w:szCs w:val="21"/>
              </w:rPr>
            </w:pPr>
          </w:p>
        </w:tc>
        <w:tc>
          <w:tcPr>
            <w:tcW w:w="2525" w:type="pct"/>
            <w:tcBorders>
              <w:tl2br w:val="nil"/>
              <w:tr2bl w:val="nil"/>
            </w:tcBorders>
            <w:shd w:val="clear" w:color="auto" w:fill="auto"/>
            <w:vAlign w:val="center"/>
          </w:tcPr>
          <w:p>
            <w:pPr>
              <w:widowControl/>
              <w:jc w:val="center"/>
              <w:rPr>
                <w:color w:val="auto"/>
                <w:kern w:val="0"/>
                <w:szCs w:val="21"/>
              </w:rPr>
            </w:pPr>
            <w:r>
              <w:rPr>
                <w:bCs/>
                <w:color w:val="auto"/>
                <w:szCs w:val="21"/>
              </w:rPr>
              <w:t>铅</w:t>
            </w:r>
            <w:r>
              <w:rPr>
                <w:rFonts w:hint="eastAsia"/>
                <w:bCs/>
                <w:color w:val="auto"/>
                <w:szCs w:val="21"/>
              </w:rPr>
              <w:t>(</w:t>
            </w:r>
            <w:r>
              <w:rPr>
                <w:bCs/>
                <w:color w:val="auto"/>
                <w:szCs w:val="21"/>
              </w:rPr>
              <w:t>Pb</w:t>
            </w:r>
            <w:r>
              <w:rPr>
                <w:rFonts w:hint="eastAsia"/>
                <w:bCs/>
                <w:color w:val="auto"/>
                <w:szCs w:val="21"/>
              </w:rPr>
              <w:t>)</w:t>
            </w:r>
            <w:r>
              <w:rPr>
                <w:bCs/>
                <w:color w:val="auto"/>
                <w:szCs w:val="21"/>
              </w:rPr>
              <w:t xml:space="preserve"> (以元素计)</w:t>
            </w:r>
          </w:p>
        </w:tc>
        <w:tc>
          <w:tcPr>
            <w:tcW w:w="2073" w:type="pct"/>
            <w:tcBorders>
              <w:tl2br w:val="nil"/>
              <w:tr2bl w:val="nil"/>
            </w:tcBorders>
            <w:shd w:val="clear" w:color="auto" w:fill="auto"/>
            <w:vAlign w:val="center"/>
          </w:tcPr>
          <w:p>
            <w:pPr>
              <w:widowControl/>
              <w:jc w:val="center"/>
              <w:rPr>
                <w:color w:val="auto"/>
                <w:kern w:val="0"/>
                <w:szCs w:val="21"/>
              </w:rPr>
            </w:pPr>
            <w:r>
              <w:rPr>
                <w:color w:val="auto"/>
              </w:rPr>
              <w:t>NY/T 1978-20</w:t>
            </w:r>
            <w:r>
              <w:rPr>
                <w:rFonts w:hint="eastAsia"/>
                <w:color w:val="auto"/>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401" w:type="pct"/>
            <w:tcBorders>
              <w:tl2br w:val="nil"/>
              <w:tr2bl w:val="nil"/>
            </w:tcBorders>
            <w:shd w:val="clear" w:color="auto" w:fill="auto"/>
            <w:vAlign w:val="center"/>
          </w:tcPr>
          <w:p>
            <w:pPr>
              <w:pStyle w:val="17"/>
              <w:widowControl/>
              <w:numPr>
                <w:ilvl w:val="0"/>
                <w:numId w:val="3"/>
              </w:numPr>
              <w:ind w:firstLineChars="0"/>
              <w:jc w:val="center"/>
              <w:rPr>
                <w:rFonts w:ascii="Times New Roman" w:hAnsi="Times New Roman" w:eastAsia="宋体"/>
                <w:color w:val="auto"/>
                <w:kern w:val="0"/>
                <w:szCs w:val="21"/>
              </w:rPr>
            </w:pPr>
          </w:p>
        </w:tc>
        <w:tc>
          <w:tcPr>
            <w:tcW w:w="2525" w:type="pct"/>
            <w:tcBorders>
              <w:tl2br w:val="nil"/>
              <w:tr2bl w:val="nil"/>
            </w:tcBorders>
            <w:shd w:val="clear" w:color="auto" w:fill="auto"/>
            <w:vAlign w:val="center"/>
          </w:tcPr>
          <w:p>
            <w:pPr>
              <w:widowControl/>
              <w:jc w:val="center"/>
              <w:rPr>
                <w:color w:val="auto"/>
                <w:kern w:val="0"/>
                <w:szCs w:val="21"/>
              </w:rPr>
            </w:pPr>
            <w:r>
              <w:rPr>
                <w:bCs/>
                <w:color w:val="auto"/>
                <w:szCs w:val="21"/>
              </w:rPr>
              <w:t>铬</w:t>
            </w:r>
            <w:r>
              <w:rPr>
                <w:rFonts w:hint="eastAsia"/>
                <w:bCs/>
                <w:color w:val="auto"/>
                <w:szCs w:val="21"/>
              </w:rPr>
              <w:t>(</w:t>
            </w:r>
            <w:r>
              <w:rPr>
                <w:bCs/>
                <w:color w:val="auto"/>
                <w:szCs w:val="21"/>
              </w:rPr>
              <w:t>Cr</w:t>
            </w:r>
            <w:r>
              <w:rPr>
                <w:rFonts w:hint="eastAsia"/>
                <w:bCs/>
                <w:color w:val="auto"/>
                <w:szCs w:val="21"/>
              </w:rPr>
              <w:t>)</w:t>
            </w:r>
            <w:r>
              <w:rPr>
                <w:bCs/>
                <w:color w:val="auto"/>
                <w:szCs w:val="21"/>
              </w:rPr>
              <w:t xml:space="preserve"> (以元素计)</w:t>
            </w:r>
          </w:p>
        </w:tc>
        <w:tc>
          <w:tcPr>
            <w:tcW w:w="2073" w:type="pct"/>
            <w:tcBorders>
              <w:tl2br w:val="nil"/>
              <w:tr2bl w:val="nil"/>
            </w:tcBorders>
            <w:shd w:val="clear" w:color="auto" w:fill="auto"/>
            <w:vAlign w:val="center"/>
          </w:tcPr>
          <w:p>
            <w:pPr>
              <w:widowControl/>
              <w:jc w:val="center"/>
              <w:rPr>
                <w:color w:val="auto"/>
                <w:kern w:val="0"/>
                <w:szCs w:val="21"/>
              </w:rPr>
            </w:pPr>
            <w:r>
              <w:rPr>
                <w:color w:val="auto"/>
              </w:rPr>
              <w:t>NY/T 1978-20</w:t>
            </w:r>
            <w:r>
              <w:rPr>
                <w:rFonts w:hint="eastAsia"/>
                <w:color w:val="auto"/>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401" w:type="pct"/>
            <w:tcBorders>
              <w:tl2br w:val="nil"/>
              <w:tr2bl w:val="nil"/>
            </w:tcBorders>
            <w:shd w:val="clear" w:color="auto" w:fill="auto"/>
            <w:vAlign w:val="center"/>
          </w:tcPr>
          <w:p>
            <w:pPr>
              <w:pStyle w:val="17"/>
              <w:widowControl/>
              <w:numPr>
                <w:ilvl w:val="0"/>
                <w:numId w:val="3"/>
              </w:numPr>
              <w:ind w:firstLineChars="0"/>
              <w:jc w:val="center"/>
              <w:rPr>
                <w:rFonts w:ascii="Times New Roman" w:hAnsi="Times New Roman" w:eastAsia="宋体"/>
                <w:color w:val="auto"/>
                <w:kern w:val="0"/>
                <w:szCs w:val="21"/>
              </w:rPr>
            </w:pPr>
          </w:p>
        </w:tc>
        <w:tc>
          <w:tcPr>
            <w:tcW w:w="2525" w:type="pct"/>
            <w:tcBorders>
              <w:tl2br w:val="nil"/>
              <w:tr2bl w:val="nil"/>
            </w:tcBorders>
            <w:shd w:val="clear" w:color="auto" w:fill="auto"/>
            <w:vAlign w:val="center"/>
          </w:tcPr>
          <w:p>
            <w:pPr>
              <w:widowControl/>
              <w:jc w:val="center"/>
              <w:rPr>
                <w:color w:val="auto"/>
                <w:kern w:val="0"/>
                <w:szCs w:val="21"/>
              </w:rPr>
            </w:pPr>
            <w:r>
              <w:rPr>
                <w:rFonts w:hint="eastAsia" w:ascii="宋体" w:hAnsi="宋体"/>
                <w:bCs/>
                <w:color w:val="auto"/>
                <w:szCs w:val="21"/>
              </w:rPr>
              <w:t>总铊</w:t>
            </w:r>
          </w:p>
        </w:tc>
        <w:tc>
          <w:tcPr>
            <w:tcW w:w="2073" w:type="pct"/>
            <w:tcBorders>
              <w:tl2br w:val="nil"/>
              <w:tr2bl w:val="nil"/>
            </w:tcBorders>
            <w:shd w:val="clear" w:color="auto" w:fill="auto"/>
            <w:vAlign w:val="center"/>
          </w:tcPr>
          <w:p>
            <w:pPr>
              <w:widowControl/>
              <w:jc w:val="center"/>
              <w:rPr>
                <w:color w:val="auto"/>
                <w:kern w:val="0"/>
                <w:szCs w:val="21"/>
              </w:rPr>
            </w:pPr>
            <w:r>
              <w:rPr>
                <w:color w:val="auto"/>
                <w:kern w:val="0"/>
                <w:szCs w:val="21"/>
              </w:rPr>
              <w:t>GB 38400-2019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401" w:type="pct"/>
            <w:tcBorders>
              <w:tl2br w:val="nil"/>
              <w:tr2bl w:val="nil"/>
            </w:tcBorders>
            <w:shd w:val="clear" w:color="auto" w:fill="auto"/>
            <w:vAlign w:val="center"/>
          </w:tcPr>
          <w:p>
            <w:pPr>
              <w:pStyle w:val="17"/>
              <w:widowControl/>
              <w:numPr>
                <w:ilvl w:val="0"/>
                <w:numId w:val="3"/>
              </w:numPr>
              <w:ind w:firstLineChars="0"/>
              <w:jc w:val="center"/>
              <w:rPr>
                <w:rFonts w:ascii="Times New Roman" w:hAnsi="Times New Roman" w:eastAsia="宋体"/>
                <w:color w:val="auto"/>
                <w:kern w:val="0"/>
                <w:szCs w:val="21"/>
              </w:rPr>
            </w:pPr>
          </w:p>
        </w:tc>
        <w:tc>
          <w:tcPr>
            <w:tcW w:w="2525" w:type="pct"/>
            <w:tcBorders>
              <w:tl2br w:val="nil"/>
              <w:tr2bl w:val="nil"/>
            </w:tcBorders>
            <w:shd w:val="clear" w:color="auto" w:fill="auto"/>
            <w:vAlign w:val="center"/>
          </w:tcPr>
          <w:p>
            <w:pPr>
              <w:widowControl/>
              <w:spacing w:after="0" w:line="300" w:lineRule="exact"/>
              <w:jc w:val="center"/>
              <w:rPr>
                <w:rFonts w:hint="eastAsia" w:ascii="Times New Roman" w:hAnsi="Times New Roman" w:eastAsia="宋体" w:cs="Times New Roman"/>
                <w:color w:val="auto"/>
                <w:kern w:val="0"/>
                <w:sz w:val="21"/>
                <w:szCs w:val="21"/>
                <w:lang w:val="en-US" w:eastAsia="zh-CN" w:bidi="ar-SA"/>
              </w:rPr>
            </w:pPr>
            <w:r>
              <w:rPr>
                <w:bCs/>
                <w:color w:val="auto"/>
                <w:szCs w:val="21"/>
              </w:rPr>
              <w:t>多环芳烃总量</w:t>
            </w:r>
          </w:p>
        </w:tc>
        <w:tc>
          <w:tcPr>
            <w:tcW w:w="2073" w:type="pct"/>
            <w:tcBorders>
              <w:tl2br w:val="nil"/>
              <w:tr2bl w:val="nil"/>
            </w:tcBorders>
            <w:shd w:val="clear" w:color="auto" w:fill="auto"/>
            <w:vAlign w:val="center"/>
          </w:tcPr>
          <w:p>
            <w:pPr>
              <w:widowControl/>
              <w:spacing w:after="0" w:line="300" w:lineRule="exact"/>
              <w:jc w:val="center"/>
              <w:rPr>
                <w:rFonts w:ascii="Times New Roman" w:hAnsi="Times New Roman" w:eastAsia="宋体" w:cs="Times New Roman"/>
                <w:color w:val="auto"/>
                <w:kern w:val="0"/>
                <w:sz w:val="21"/>
                <w:szCs w:val="21"/>
                <w:lang w:val="en-US" w:eastAsia="zh-CN" w:bidi="ar-SA"/>
              </w:rPr>
            </w:pPr>
            <w:r>
              <w:rPr>
                <w:color w:val="auto"/>
                <w:kern w:val="0"/>
                <w:szCs w:val="21"/>
              </w:rPr>
              <w:t>GB/T 32952</w:t>
            </w:r>
            <w:r>
              <w:rPr>
                <w:rFonts w:hint="eastAsia"/>
                <w:color w:val="auto"/>
                <w:szCs w:val="21"/>
                <w:lang w:val="en-US" w:eastAsia="zh-CN"/>
              </w:rPr>
              <w:t>-</w:t>
            </w:r>
            <w:r>
              <w:rPr>
                <w:color w:val="auto"/>
                <w:kern w:val="0"/>
                <w:szCs w:val="21"/>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401" w:type="pct"/>
            <w:tcBorders>
              <w:tl2br w:val="nil"/>
              <w:tr2bl w:val="nil"/>
            </w:tcBorders>
            <w:shd w:val="clear" w:color="auto" w:fill="auto"/>
            <w:vAlign w:val="center"/>
          </w:tcPr>
          <w:p>
            <w:pPr>
              <w:pStyle w:val="17"/>
              <w:widowControl/>
              <w:numPr>
                <w:ilvl w:val="0"/>
                <w:numId w:val="3"/>
              </w:numPr>
              <w:ind w:firstLineChars="0"/>
              <w:jc w:val="center"/>
              <w:rPr>
                <w:rFonts w:ascii="Times New Roman" w:hAnsi="Times New Roman" w:eastAsia="宋体"/>
                <w:color w:val="auto"/>
                <w:kern w:val="0"/>
                <w:szCs w:val="21"/>
              </w:rPr>
            </w:pPr>
          </w:p>
        </w:tc>
        <w:tc>
          <w:tcPr>
            <w:tcW w:w="2525" w:type="pct"/>
            <w:tcBorders>
              <w:tl2br w:val="nil"/>
              <w:tr2bl w:val="nil"/>
            </w:tcBorders>
            <w:shd w:val="clear" w:color="auto" w:fill="auto"/>
            <w:vAlign w:val="center"/>
          </w:tcPr>
          <w:p>
            <w:pPr>
              <w:widowControl/>
              <w:jc w:val="center"/>
              <w:rPr>
                <w:rFonts w:ascii="Times New Roman" w:hAnsi="Times New Roman" w:eastAsia="宋体" w:cs="Times New Roman"/>
                <w:color w:val="auto"/>
                <w:kern w:val="0"/>
                <w:sz w:val="21"/>
                <w:szCs w:val="21"/>
                <w:lang w:val="en-US" w:eastAsia="zh-CN" w:bidi="ar-SA"/>
              </w:rPr>
            </w:pPr>
            <w:r>
              <w:rPr>
                <w:rFonts w:hint="eastAsia"/>
                <w:color w:val="auto"/>
                <w:kern w:val="0"/>
                <w:szCs w:val="21"/>
              </w:rPr>
              <w:t>缩二脲</w:t>
            </w:r>
          </w:p>
        </w:tc>
        <w:tc>
          <w:tcPr>
            <w:tcW w:w="2073" w:type="pct"/>
            <w:tcBorders>
              <w:tl2br w:val="nil"/>
              <w:tr2bl w:val="nil"/>
            </w:tcBorders>
            <w:shd w:val="clear" w:color="auto" w:fill="auto"/>
            <w:vAlign w:val="center"/>
          </w:tcPr>
          <w:p>
            <w:pPr>
              <w:widowControl/>
              <w:jc w:val="center"/>
              <w:rPr>
                <w:rFonts w:hint="default" w:ascii="Times New Roman" w:hAnsi="Times New Roman" w:eastAsia="宋体" w:cs="Times New Roman"/>
                <w:color w:val="auto"/>
                <w:kern w:val="0"/>
                <w:sz w:val="21"/>
                <w:szCs w:val="21"/>
                <w:lang w:val="en-US" w:eastAsia="zh-CN" w:bidi="ar-SA"/>
              </w:rPr>
            </w:pPr>
            <w:r>
              <w:rPr>
                <w:rFonts w:hint="eastAsia"/>
                <w:color w:val="auto"/>
                <w:kern w:val="0"/>
                <w:szCs w:val="21"/>
              </w:rPr>
              <w:t>GB/T 22924—20</w:t>
            </w:r>
            <w:r>
              <w:rPr>
                <w:rFonts w:hint="eastAsia"/>
                <w:color w:val="auto"/>
                <w:kern w:val="0"/>
                <w:szCs w:val="21"/>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3" w:hRule="atLeast"/>
        </w:trPr>
        <w:tc>
          <w:tcPr>
            <w:tcW w:w="401" w:type="pct"/>
            <w:tcBorders>
              <w:tl2br w:val="nil"/>
              <w:tr2bl w:val="nil"/>
            </w:tcBorders>
            <w:shd w:val="clear" w:color="auto" w:fill="auto"/>
            <w:vAlign w:val="center"/>
          </w:tcPr>
          <w:p>
            <w:pPr>
              <w:pStyle w:val="17"/>
              <w:widowControl/>
              <w:numPr>
                <w:ilvl w:val="0"/>
                <w:numId w:val="3"/>
              </w:numPr>
              <w:ind w:firstLineChars="0"/>
              <w:jc w:val="center"/>
              <w:rPr>
                <w:rFonts w:ascii="Times New Roman" w:hAnsi="Times New Roman" w:eastAsia="宋体"/>
                <w:color w:val="auto"/>
                <w:kern w:val="0"/>
                <w:szCs w:val="21"/>
              </w:rPr>
            </w:pPr>
          </w:p>
        </w:tc>
        <w:tc>
          <w:tcPr>
            <w:tcW w:w="2525" w:type="pct"/>
            <w:tcBorders>
              <w:tl2br w:val="nil"/>
              <w:tr2bl w:val="nil"/>
            </w:tcBorders>
            <w:shd w:val="clear" w:color="auto" w:fill="auto"/>
            <w:vAlign w:val="center"/>
          </w:tcPr>
          <w:p>
            <w:pPr>
              <w:widowControl/>
              <w:jc w:val="center"/>
              <w:rPr>
                <w:color w:val="auto"/>
                <w:kern w:val="0"/>
                <w:szCs w:val="21"/>
              </w:rPr>
            </w:pPr>
            <w:r>
              <w:rPr>
                <w:color w:val="auto"/>
                <w:kern w:val="0"/>
                <w:szCs w:val="21"/>
              </w:rPr>
              <w:t>包装标识（养分含量、</w:t>
            </w:r>
            <w:r>
              <w:rPr>
                <w:rFonts w:hint="eastAsia"/>
                <w:color w:val="auto"/>
                <w:kern w:val="0"/>
                <w:szCs w:val="21"/>
                <w:lang w:val="en-US" w:eastAsia="zh-CN"/>
              </w:rPr>
              <w:t>肥料名称</w:t>
            </w:r>
            <w:r>
              <w:rPr>
                <w:rFonts w:hint="eastAsia"/>
                <w:color w:val="auto"/>
                <w:kern w:val="0"/>
                <w:szCs w:val="21"/>
              </w:rPr>
              <w:t>等</w:t>
            </w:r>
            <w:r>
              <w:rPr>
                <w:color w:val="auto"/>
                <w:kern w:val="0"/>
                <w:szCs w:val="21"/>
              </w:rPr>
              <w:t>）</w:t>
            </w:r>
          </w:p>
        </w:tc>
        <w:tc>
          <w:tcPr>
            <w:tcW w:w="2073" w:type="pct"/>
            <w:tcBorders>
              <w:tl2br w:val="nil"/>
              <w:tr2bl w:val="nil"/>
            </w:tcBorders>
            <w:shd w:val="clear" w:color="auto" w:fill="auto"/>
            <w:vAlign w:val="center"/>
          </w:tcPr>
          <w:p>
            <w:pPr>
              <w:widowControl/>
              <w:jc w:val="center"/>
              <w:rPr>
                <w:rFonts w:hint="default" w:ascii="Times New Roman" w:hAnsi="Times New Roman" w:cs="Times New Roman"/>
                <w:color w:val="auto"/>
                <w:kern w:val="0"/>
                <w:szCs w:val="21"/>
              </w:rPr>
            </w:pPr>
            <w:r>
              <w:rPr>
                <w:rFonts w:hint="default" w:ascii="Times New Roman" w:hAnsi="Times New Roman" w:cs="Times New Roman"/>
                <w:color w:val="auto"/>
                <w:kern w:val="0"/>
                <w:szCs w:val="21"/>
              </w:rPr>
              <w:t>GB 18382-2021</w:t>
            </w:r>
          </w:p>
          <w:p>
            <w:pPr>
              <w:jc w:val="center"/>
              <w:rPr>
                <w:color w:val="auto"/>
                <w:kern w:val="0"/>
                <w:szCs w:val="21"/>
              </w:rPr>
            </w:pPr>
            <w:r>
              <w:rPr>
                <w:rFonts w:hint="default" w:ascii="Times New Roman" w:hAnsi="Times New Roman" w:cs="Times New Roman"/>
                <w:color w:val="auto"/>
                <w:kern w:val="0"/>
                <w:szCs w:val="21"/>
              </w:rPr>
              <w:t>GB/T 535-2020（含第1号修改单</w:t>
            </w:r>
            <w:r>
              <w:rPr>
                <w:rFonts w:hint="default" w:ascii="Times New Roman" w:hAnsi="Times New Roman" w:cs="Times New Roman"/>
                <w:color w:val="auto"/>
                <w:kern w:val="0"/>
                <w:szCs w:val="21"/>
                <w:lang w:eastAsia="zh-CN"/>
              </w:rPr>
              <w:t>）</w:t>
            </w:r>
          </w:p>
        </w:tc>
      </w:tr>
    </w:tbl>
    <w:p>
      <w:pPr>
        <w:snapToGrid w:val="0"/>
        <w:spacing w:line="440" w:lineRule="exact"/>
        <w:jc w:val="center"/>
        <w:rPr>
          <w:rFonts w:hint="eastAsia" w:ascii="黑体" w:hAnsi="黑体" w:eastAsia="黑体" w:cs="黑体"/>
          <w:bCs/>
          <w:color w:val="auto"/>
          <w:szCs w:val="21"/>
        </w:rPr>
      </w:pPr>
      <w:r>
        <w:rPr>
          <w:rFonts w:hint="eastAsia" w:ascii="黑体" w:hAnsi="黑体" w:eastAsia="黑体" w:cs="黑体"/>
          <w:bCs/>
          <w:color w:val="auto"/>
          <w:szCs w:val="21"/>
        </w:rPr>
        <w:t>表4 农业用碳酸氢铵</w:t>
      </w:r>
    </w:p>
    <w:tbl>
      <w:tblPr>
        <w:tblStyle w:val="9"/>
        <w:tblW w:w="89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4635"/>
        <w:gridCol w:w="3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728" w:type="dxa"/>
            <w:vMerge w:val="restart"/>
            <w:vAlign w:val="center"/>
          </w:tcPr>
          <w:p>
            <w:pPr>
              <w:spacing w:line="440" w:lineRule="exact"/>
              <w:jc w:val="center"/>
              <w:rPr>
                <w:rFonts w:hint="eastAsia" w:ascii="黑体" w:hAnsi="黑体" w:eastAsia="黑体" w:cs="黑体"/>
                <w:color w:val="auto"/>
                <w:szCs w:val="21"/>
              </w:rPr>
            </w:pPr>
            <w:r>
              <w:rPr>
                <w:rFonts w:hint="eastAsia" w:ascii="黑体" w:hAnsi="黑体" w:eastAsia="黑体" w:cs="黑体"/>
                <w:color w:val="auto"/>
                <w:szCs w:val="21"/>
              </w:rPr>
              <w:t>序号</w:t>
            </w:r>
          </w:p>
        </w:tc>
        <w:tc>
          <w:tcPr>
            <w:tcW w:w="4635" w:type="dxa"/>
            <w:vMerge w:val="restart"/>
            <w:vAlign w:val="center"/>
          </w:tcPr>
          <w:p>
            <w:pPr>
              <w:spacing w:line="440" w:lineRule="exact"/>
              <w:jc w:val="center"/>
              <w:rPr>
                <w:rFonts w:hint="eastAsia" w:ascii="黑体" w:hAnsi="黑体" w:eastAsia="黑体" w:cs="黑体"/>
                <w:color w:val="auto"/>
                <w:szCs w:val="21"/>
              </w:rPr>
            </w:pPr>
            <w:r>
              <w:rPr>
                <w:rFonts w:hint="eastAsia" w:ascii="黑体" w:hAnsi="黑体" w:eastAsia="黑体" w:cs="黑体"/>
                <w:color w:val="auto"/>
                <w:szCs w:val="21"/>
              </w:rPr>
              <w:t>检验项目</w:t>
            </w:r>
          </w:p>
        </w:tc>
        <w:tc>
          <w:tcPr>
            <w:tcW w:w="3633" w:type="dxa"/>
            <w:vMerge w:val="restart"/>
            <w:vAlign w:val="center"/>
          </w:tcPr>
          <w:p>
            <w:pPr>
              <w:spacing w:line="440" w:lineRule="exact"/>
              <w:jc w:val="center"/>
              <w:rPr>
                <w:rFonts w:hint="eastAsia" w:ascii="黑体" w:hAnsi="黑体" w:eastAsia="黑体" w:cs="黑体"/>
                <w:color w:val="auto"/>
                <w:szCs w:val="21"/>
              </w:rPr>
            </w:pPr>
            <w:r>
              <w:rPr>
                <w:rFonts w:hint="eastAsia" w:ascii="黑体" w:hAnsi="黑体" w:eastAsia="黑体" w:cs="黑体"/>
                <w:color w:val="auto"/>
                <w:szCs w:val="21"/>
              </w:rPr>
              <w:t>检验方法标准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0" w:hRule="atLeast"/>
          <w:jc w:val="center"/>
        </w:trPr>
        <w:tc>
          <w:tcPr>
            <w:tcW w:w="728" w:type="dxa"/>
            <w:vMerge w:val="continue"/>
            <w:vAlign w:val="center"/>
          </w:tcPr>
          <w:p>
            <w:pPr>
              <w:spacing w:line="440" w:lineRule="exact"/>
              <w:jc w:val="center"/>
              <w:rPr>
                <w:rFonts w:ascii="宋体" w:hAnsi="宋体" w:cs="宋体"/>
                <w:color w:val="auto"/>
                <w:szCs w:val="21"/>
              </w:rPr>
            </w:pPr>
          </w:p>
        </w:tc>
        <w:tc>
          <w:tcPr>
            <w:tcW w:w="4635" w:type="dxa"/>
            <w:vMerge w:val="continue"/>
            <w:vAlign w:val="center"/>
          </w:tcPr>
          <w:p>
            <w:pPr>
              <w:spacing w:line="440" w:lineRule="exact"/>
              <w:jc w:val="center"/>
              <w:rPr>
                <w:rFonts w:ascii="宋体" w:hAnsi="宋体" w:cs="宋体"/>
                <w:color w:val="auto"/>
                <w:szCs w:val="21"/>
              </w:rPr>
            </w:pPr>
          </w:p>
        </w:tc>
        <w:tc>
          <w:tcPr>
            <w:tcW w:w="3633" w:type="dxa"/>
            <w:vMerge w:val="continue"/>
            <w:vAlign w:val="center"/>
          </w:tcPr>
          <w:p>
            <w:pPr>
              <w:spacing w:line="440" w:lineRule="exact"/>
              <w:jc w:val="center"/>
              <w:rPr>
                <w:rFonts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pPr>
              <w:spacing w:line="44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1</w:t>
            </w:r>
          </w:p>
        </w:tc>
        <w:tc>
          <w:tcPr>
            <w:tcW w:w="4635" w:type="dxa"/>
            <w:vAlign w:val="center"/>
          </w:tcPr>
          <w:p>
            <w:pPr>
              <w:spacing w:line="44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氮（N）</w:t>
            </w:r>
          </w:p>
        </w:tc>
        <w:tc>
          <w:tcPr>
            <w:tcW w:w="3633" w:type="dxa"/>
            <w:vAlign w:val="center"/>
          </w:tcPr>
          <w:p>
            <w:pPr>
              <w:spacing w:line="440" w:lineRule="exact"/>
              <w:jc w:val="center"/>
              <w:rPr>
                <w:color w:val="auto"/>
                <w:kern w:val="0"/>
                <w:szCs w:val="21"/>
              </w:rPr>
            </w:pPr>
            <w:r>
              <w:rPr>
                <w:rFonts w:hint="eastAsia"/>
                <w:color w:val="auto"/>
                <w:kern w:val="0"/>
                <w:szCs w:val="21"/>
              </w:rPr>
              <w:t>GB/T 3559-2001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pPr>
              <w:spacing w:line="44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2</w:t>
            </w:r>
          </w:p>
        </w:tc>
        <w:tc>
          <w:tcPr>
            <w:tcW w:w="4635" w:type="dxa"/>
            <w:vAlign w:val="center"/>
          </w:tcPr>
          <w:p>
            <w:pPr>
              <w:spacing w:line="44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水分（H</w:t>
            </w:r>
            <w:r>
              <w:rPr>
                <w:rFonts w:hint="default" w:ascii="Times New Roman" w:hAnsi="Times New Roman" w:cs="Times New Roman"/>
                <w:color w:val="auto"/>
                <w:szCs w:val="21"/>
                <w:vertAlign w:val="subscript"/>
              </w:rPr>
              <w:t>2</w:t>
            </w:r>
            <w:r>
              <w:rPr>
                <w:rFonts w:hint="default" w:ascii="Times New Roman" w:hAnsi="Times New Roman" w:cs="Times New Roman"/>
                <w:color w:val="auto"/>
                <w:szCs w:val="21"/>
              </w:rPr>
              <w:t>O）</w:t>
            </w:r>
          </w:p>
        </w:tc>
        <w:tc>
          <w:tcPr>
            <w:tcW w:w="3633" w:type="dxa"/>
            <w:vAlign w:val="center"/>
          </w:tcPr>
          <w:p>
            <w:pPr>
              <w:spacing w:line="440" w:lineRule="exact"/>
              <w:jc w:val="center"/>
              <w:rPr>
                <w:color w:val="auto"/>
                <w:kern w:val="0"/>
                <w:szCs w:val="21"/>
              </w:rPr>
            </w:pPr>
            <w:r>
              <w:rPr>
                <w:rFonts w:hint="eastAsia"/>
                <w:color w:val="auto"/>
                <w:kern w:val="0"/>
                <w:szCs w:val="21"/>
              </w:rPr>
              <w:t>GB/T 3559-2001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pPr>
              <w:spacing w:line="44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3</w:t>
            </w:r>
          </w:p>
        </w:tc>
        <w:tc>
          <w:tcPr>
            <w:tcW w:w="4635" w:type="dxa"/>
            <w:vAlign w:val="center"/>
          </w:tcPr>
          <w:p>
            <w:pPr>
              <w:widowControl/>
              <w:jc w:val="center"/>
              <w:rPr>
                <w:color w:val="auto"/>
                <w:kern w:val="0"/>
                <w:szCs w:val="21"/>
              </w:rPr>
            </w:pPr>
            <w:r>
              <w:rPr>
                <w:color w:val="auto"/>
                <w:kern w:val="0"/>
                <w:szCs w:val="21"/>
              </w:rPr>
              <w:t>总砷</w:t>
            </w:r>
          </w:p>
        </w:tc>
        <w:tc>
          <w:tcPr>
            <w:tcW w:w="3633" w:type="dxa"/>
            <w:vAlign w:val="center"/>
          </w:tcPr>
          <w:p>
            <w:pPr>
              <w:widowControl/>
              <w:jc w:val="center"/>
              <w:rPr>
                <w:color w:val="auto"/>
                <w:kern w:val="0"/>
                <w:szCs w:val="21"/>
              </w:rPr>
            </w:pPr>
            <w:r>
              <w:rPr>
                <w:color w:val="auto"/>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pPr>
              <w:spacing w:line="44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4</w:t>
            </w:r>
          </w:p>
        </w:tc>
        <w:tc>
          <w:tcPr>
            <w:tcW w:w="4635" w:type="dxa"/>
            <w:vAlign w:val="center"/>
          </w:tcPr>
          <w:p>
            <w:pPr>
              <w:widowControl/>
              <w:jc w:val="center"/>
              <w:rPr>
                <w:color w:val="auto"/>
                <w:kern w:val="0"/>
                <w:szCs w:val="21"/>
              </w:rPr>
            </w:pPr>
            <w:r>
              <w:rPr>
                <w:color w:val="auto"/>
                <w:kern w:val="0"/>
                <w:szCs w:val="21"/>
              </w:rPr>
              <w:t>总镉</w:t>
            </w:r>
          </w:p>
        </w:tc>
        <w:tc>
          <w:tcPr>
            <w:tcW w:w="3633" w:type="dxa"/>
            <w:vAlign w:val="center"/>
          </w:tcPr>
          <w:p>
            <w:pPr>
              <w:widowControl/>
              <w:jc w:val="center"/>
              <w:rPr>
                <w:color w:val="auto"/>
                <w:kern w:val="0"/>
                <w:szCs w:val="21"/>
              </w:rPr>
            </w:pPr>
            <w:r>
              <w:rPr>
                <w:color w:val="auto"/>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pPr>
              <w:spacing w:line="44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5</w:t>
            </w:r>
          </w:p>
        </w:tc>
        <w:tc>
          <w:tcPr>
            <w:tcW w:w="4635" w:type="dxa"/>
            <w:vAlign w:val="center"/>
          </w:tcPr>
          <w:p>
            <w:pPr>
              <w:widowControl/>
              <w:jc w:val="center"/>
              <w:rPr>
                <w:color w:val="auto"/>
                <w:kern w:val="0"/>
                <w:szCs w:val="21"/>
              </w:rPr>
            </w:pPr>
            <w:r>
              <w:rPr>
                <w:color w:val="auto"/>
                <w:kern w:val="0"/>
                <w:szCs w:val="21"/>
              </w:rPr>
              <w:t>总铅</w:t>
            </w:r>
          </w:p>
        </w:tc>
        <w:tc>
          <w:tcPr>
            <w:tcW w:w="3633" w:type="dxa"/>
            <w:vAlign w:val="center"/>
          </w:tcPr>
          <w:p>
            <w:pPr>
              <w:widowControl/>
              <w:jc w:val="center"/>
              <w:rPr>
                <w:color w:val="auto"/>
                <w:kern w:val="0"/>
                <w:szCs w:val="21"/>
              </w:rPr>
            </w:pPr>
            <w:r>
              <w:rPr>
                <w:color w:val="auto"/>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pPr>
              <w:spacing w:line="44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6</w:t>
            </w:r>
          </w:p>
        </w:tc>
        <w:tc>
          <w:tcPr>
            <w:tcW w:w="4635" w:type="dxa"/>
            <w:vAlign w:val="center"/>
          </w:tcPr>
          <w:p>
            <w:pPr>
              <w:widowControl/>
              <w:jc w:val="center"/>
              <w:rPr>
                <w:color w:val="auto"/>
                <w:kern w:val="0"/>
                <w:szCs w:val="21"/>
              </w:rPr>
            </w:pPr>
            <w:r>
              <w:rPr>
                <w:color w:val="auto"/>
                <w:kern w:val="0"/>
                <w:szCs w:val="21"/>
              </w:rPr>
              <w:t>总铬</w:t>
            </w:r>
          </w:p>
        </w:tc>
        <w:tc>
          <w:tcPr>
            <w:tcW w:w="3633" w:type="dxa"/>
            <w:vAlign w:val="center"/>
          </w:tcPr>
          <w:p>
            <w:pPr>
              <w:widowControl/>
              <w:jc w:val="center"/>
              <w:rPr>
                <w:color w:val="auto"/>
                <w:kern w:val="0"/>
                <w:szCs w:val="21"/>
              </w:rPr>
            </w:pPr>
            <w:r>
              <w:rPr>
                <w:color w:val="auto"/>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pPr>
              <w:spacing w:line="44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7</w:t>
            </w:r>
          </w:p>
        </w:tc>
        <w:tc>
          <w:tcPr>
            <w:tcW w:w="4635" w:type="dxa"/>
            <w:vAlign w:val="center"/>
          </w:tcPr>
          <w:p>
            <w:pPr>
              <w:widowControl/>
              <w:jc w:val="center"/>
              <w:rPr>
                <w:color w:val="auto"/>
                <w:kern w:val="0"/>
                <w:szCs w:val="21"/>
              </w:rPr>
            </w:pPr>
            <w:r>
              <w:rPr>
                <w:color w:val="auto"/>
                <w:kern w:val="0"/>
                <w:szCs w:val="21"/>
              </w:rPr>
              <w:t>总汞</w:t>
            </w:r>
          </w:p>
        </w:tc>
        <w:tc>
          <w:tcPr>
            <w:tcW w:w="3633" w:type="dxa"/>
            <w:vAlign w:val="center"/>
          </w:tcPr>
          <w:p>
            <w:pPr>
              <w:widowControl/>
              <w:jc w:val="center"/>
              <w:rPr>
                <w:color w:val="auto"/>
                <w:kern w:val="0"/>
                <w:szCs w:val="21"/>
              </w:rPr>
            </w:pPr>
            <w:r>
              <w:rPr>
                <w:color w:val="auto"/>
                <w:kern w:val="0"/>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pPr>
              <w:spacing w:line="44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8</w:t>
            </w:r>
          </w:p>
        </w:tc>
        <w:tc>
          <w:tcPr>
            <w:tcW w:w="4635" w:type="dxa"/>
            <w:vAlign w:val="center"/>
          </w:tcPr>
          <w:p>
            <w:pPr>
              <w:widowControl/>
              <w:jc w:val="center"/>
              <w:rPr>
                <w:color w:val="auto"/>
                <w:kern w:val="0"/>
                <w:szCs w:val="21"/>
              </w:rPr>
            </w:pPr>
            <w:r>
              <w:rPr>
                <w:color w:val="auto"/>
                <w:kern w:val="0"/>
                <w:szCs w:val="21"/>
              </w:rPr>
              <w:t>总铊</w:t>
            </w:r>
          </w:p>
        </w:tc>
        <w:tc>
          <w:tcPr>
            <w:tcW w:w="3633" w:type="dxa"/>
            <w:vAlign w:val="center"/>
          </w:tcPr>
          <w:p>
            <w:pPr>
              <w:widowControl/>
              <w:jc w:val="center"/>
              <w:rPr>
                <w:color w:val="auto"/>
                <w:kern w:val="0"/>
                <w:szCs w:val="21"/>
              </w:rPr>
            </w:pPr>
            <w:r>
              <w:rPr>
                <w:color w:val="auto"/>
                <w:kern w:val="0"/>
                <w:szCs w:val="21"/>
              </w:rPr>
              <w:t>GB 38400-2019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pPr>
              <w:spacing w:line="44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9</w:t>
            </w:r>
          </w:p>
        </w:tc>
        <w:tc>
          <w:tcPr>
            <w:tcW w:w="4635" w:type="dxa"/>
            <w:vAlign w:val="center"/>
          </w:tcPr>
          <w:p>
            <w:pPr>
              <w:widowControl/>
              <w:jc w:val="center"/>
              <w:rPr>
                <w:rFonts w:hint="eastAsia" w:eastAsia="宋体"/>
                <w:color w:val="auto"/>
                <w:kern w:val="0"/>
                <w:szCs w:val="21"/>
                <w:lang w:eastAsia="zh-CN"/>
              </w:rPr>
            </w:pPr>
            <w:r>
              <w:rPr>
                <w:rFonts w:hint="eastAsia"/>
                <w:color w:val="auto"/>
                <w:kern w:val="0"/>
                <w:szCs w:val="21"/>
              </w:rPr>
              <w:t>包装标</w:t>
            </w:r>
            <w:r>
              <w:rPr>
                <w:rFonts w:hint="eastAsia"/>
                <w:color w:val="000000" w:themeColor="text1"/>
                <w:kern w:val="0"/>
                <w:szCs w:val="21"/>
                <w14:textFill>
                  <w14:solidFill>
                    <w14:schemeClr w14:val="tx1"/>
                  </w14:solidFill>
                </w14:textFill>
              </w:rPr>
              <w:t>识</w:t>
            </w:r>
            <w:r>
              <w:rPr>
                <w:color w:val="000000" w:themeColor="text1"/>
                <w:kern w:val="0"/>
                <w:szCs w:val="21"/>
                <w14:textFill>
                  <w14:solidFill>
                    <w14:schemeClr w14:val="tx1"/>
                  </w14:solidFill>
                </w14:textFill>
              </w:rPr>
              <w:t>（养分含量、名称中的禁用语</w:t>
            </w:r>
            <w:r>
              <w:rPr>
                <w:rFonts w:hint="eastAsia"/>
                <w:color w:val="000000" w:themeColor="text1"/>
                <w:kern w:val="0"/>
                <w:szCs w:val="21"/>
                <w14:textFill>
                  <w14:solidFill>
                    <w14:schemeClr w14:val="tx1"/>
                  </w14:solidFill>
                </w14:textFill>
              </w:rPr>
              <w:t>等</w:t>
            </w:r>
            <w:r>
              <w:rPr>
                <w:color w:val="000000" w:themeColor="text1"/>
                <w:kern w:val="0"/>
                <w:szCs w:val="21"/>
                <w14:textFill>
                  <w14:solidFill>
                    <w14:schemeClr w14:val="tx1"/>
                  </w14:solidFill>
                </w14:textFill>
              </w:rPr>
              <w:t>）</w:t>
            </w:r>
          </w:p>
        </w:tc>
        <w:tc>
          <w:tcPr>
            <w:tcW w:w="3633" w:type="dxa"/>
            <w:vAlign w:val="center"/>
          </w:tcPr>
          <w:p>
            <w:pPr>
              <w:widowControl/>
              <w:jc w:val="center"/>
              <w:rPr>
                <w:color w:val="auto"/>
                <w:kern w:val="0"/>
                <w:szCs w:val="21"/>
              </w:rPr>
            </w:pPr>
            <w:r>
              <w:rPr>
                <w:rFonts w:hint="eastAsia"/>
                <w:color w:val="auto"/>
                <w:kern w:val="0"/>
                <w:szCs w:val="21"/>
              </w:rPr>
              <w:t>GB 18382-2021</w:t>
            </w:r>
          </w:p>
          <w:p>
            <w:pPr>
              <w:widowControl/>
              <w:jc w:val="center"/>
              <w:rPr>
                <w:color w:val="auto"/>
                <w:kern w:val="0"/>
                <w:szCs w:val="21"/>
              </w:rPr>
            </w:pPr>
            <w:r>
              <w:rPr>
                <w:rFonts w:hint="eastAsia"/>
                <w:color w:val="auto"/>
                <w:kern w:val="0"/>
                <w:szCs w:val="21"/>
              </w:rPr>
              <w:t>GB/T 3559-2001</w:t>
            </w:r>
          </w:p>
        </w:tc>
      </w:tr>
    </w:tbl>
    <w:p>
      <w:pPr>
        <w:adjustRightInd w:val="0"/>
        <w:snapToGrid w:val="0"/>
        <w:spacing w:line="440" w:lineRule="exact"/>
        <w:ind w:firstLine="420" w:firstLineChars="200"/>
        <w:rPr>
          <w:color w:val="auto"/>
          <w:szCs w:val="21"/>
        </w:rPr>
      </w:pPr>
      <w:r>
        <w:rPr>
          <w:rFonts w:hint="eastAsia"/>
          <w:color w:val="auto"/>
          <w:szCs w:val="21"/>
        </w:rPr>
        <w:t>执行企业标准、团体标准、地方标准的产品，检验项目参照上述内容执行。</w:t>
      </w:r>
    </w:p>
    <w:p>
      <w:pPr>
        <w:snapToGrid w:val="0"/>
        <w:spacing w:line="440" w:lineRule="exact"/>
        <w:ind w:firstLine="420" w:firstLineChars="200"/>
        <w:rPr>
          <w:rFonts w:hint="eastAsia"/>
          <w:color w:val="auto"/>
          <w:szCs w:val="21"/>
        </w:rPr>
      </w:pPr>
      <w:r>
        <w:rPr>
          <w:rFonts w:hint="eastAsia"/>
          <w:color w:val="auto"/>
          <w:szCs w:val="21"/>
        </w:rPr>
        <w:t>凡是注日期的文件，其随后所有的修改单（不包括勘误的内容）或修订版不适用于本细则。凡是不注日期的文件，其最新版本适用于本细则。</w:t>
      </w:r>
    </w:p>
    <w:p>
      <w:pPr>
        <w:snapToGrid w:val="0"/>
        <w:spacing w:line="440" w:lineRule="exact"/>
        <w:ind w:firstLine="420" w:firstLineChars="200"/>
        <w:rPr>
          <w:rFonts w:hint="eastAsia"/>
          <w:color w:val="auto"/>
          <w:szCs w:val="21"/>
        </w:rPr>
      </w:pPr>
    </w:p>
    <w:p>
      <w:pPr>
        <w:spacing w:line="440" w:lineRule="exact"/>
        <w:rPr>
          <w:rFonts w:hint="default" w:ascii="Times New Roman" w:hAnsi="Times New Roman" w:eastAsia="黑体" w:cs="Times New Roman"/>
          <w:color w:val="auto"/>
          <w:szCs w:val="21"/>
        </w:rPr>
      </w:pPr>
      <w:r>
        <w:rPr>
          <w:rFonts w:hint="default" w:ascii="Times New Roman" w:hAnsi="Times New Roman" w:eastAsia="黑体" w:cs="Times New Roman"/>
          <w:color w:val="auto"/>
          <w:szCs w:val="21"/>
        </w:rPr>
        <w:t>3 判定规则</w:t>
      </w:r>
    </w:p>
    <w:p>
      <w:pPr>
        <w:snapToGrid w:val="0"/>
        <w:spacing w:line="440" w:lineRule="exact"/>
        <w:rPr>
          <w:rFonts w:hint="default" w:ascii="Times New Roman" w:hAnsi="Times New Roman" w:cs="Times New Roman"/>
          <w:bCs/>
          <w:color w:val="auto"/>
          <w:szCs w:val="21"/>
        </w:rPr>
      </w:pPr>
      <w:r>
        <w:rPr>
          <w:rFonts w:hint="default" w:ascii="Times New Roman" w:hAnsi="Times New Roman" w:cs="Times New Roman"/>
          <w:color w:val="auto"/>
          <w:szCs w:val="21"/>
        </w:rPr>
        <w:t>3.1依据标准</w:t>
      </w:r>
    </w:p>
    <w:p>
      <w:pPr>
        <w:spacing w:line="440" w:lineRule="exact"/>
        <w:ind w:firstLine="420" w:firstLineChars="200"/>
        <w:rPr>
          <w:rFonts w:hint="default" w:ascii="Times New Roman" w:hAnsi="Times New Roman" w:cs="Times New Roman"/>
          <w:bCs/>
          <w:color w:val="auto"/>
          <w:szCs w:val="21"/>
        </w:rPr>
      </w:pPr>
      <w:r>
        <w:rPr>
          <w:rFonts w:hint="default" w:ascii="Times New Roman" w:hAnsi="Times New Roman" w:cs="Times New Roman"/>
          <w:bCs/>
          <w:color w:val="auto"/>
          <w:szCs w:val="21"/>
        </w:rPr>
        <w:t>GB 18382-2021 肥料标识 内容和要求</w:t>
      </w:r>
    </w:p>
    <w:p>
      <w:pPr>
        <w:spacing w:line="440" w:lineRule="exact"/>
        <w:ind w:firstLine="420" w:firstLineChars="200"/>
        <w:rPr>
          <w:rFonts w:hint="default" w:ascii="Times New Roman" w:hAnsi="Times New Roman" w:cs="Times New Roman"/>
          <w:bCs/>
          <w:color w:val="auto"/>
          <w:szCs w:val="21"/>
        </w:rPr>
      </w:pPr>
      <w:r>
        <w:rPr>
          <w:rFonts w:hint="default" w:ascii="Times New Roman" w:hAnsi="Times New Roman" w:cs="Times New Roman"/>
          <w:bCs/>
          <w:color w:val="auto"/>
          <w:szCs w:val="21"/>
        </w:rPr>
        <w:t>GB 38400-2019 肥料中有毒有害物质的限量要求</w:t>
      </w:r>
    </w:p>
    <w:p>
      <w:pPr>
        <w:spacing w:line="440" w:lineRule="exact"/>
        <w:ind w:firstLine="420" w:firstLineChars="200"/>
        <w:rPr>
          <w:rFonts w:hint="default" w:ascii="Times New Roman" w:hAnsi="Times New Roman" w:cs="Times New Roman"/>
          <w:bCs/>
          <w:color w:val="auto"/>
          <w:szCs w:val="21"/>
        </w:rPr>
      </w:pPr>
      <w:r>
        <w:rPr>
          <w:rFonts w:hint="default" w:ascii="Times New Roman" w:hAnsi="Times New Roman" w:cs="Times New Roman"/>
          <w:bCs/>
          <w:color w:val="auto"/>
          <w:szCs w:val="21"/>
        </w:rPr>
        <w:t>GB/T 535-2020 肥料级硫酸铵</w:t>
      </w:r>
      <w:r>
        <w:rPr>
          <w:rFonts w:hint="default" w:ascii="Times New Roman" w:hAnsi="Times New Roman" w:cs="Times New Roman"/>
          <w:color w:val="auto"/>
          <w:kern w:val="0"/>
          <w:szCs w:val="21"/>
        </w:rPr>
        <w:t>（含第1号修改单</w:t>
      </w:r>
      <w:r>
        <w:rPr>
          <w:rFonts w:hint="default" w:ascii="Times New Roman" w:hAnsi="Times New Roman" w:cs="Times New Roman"/>
          <w:color w:val="auto"/>
          <w:kern w:val="0"/>
          <w:szCs w:val="21"/>
          <w:lang w:eastAsia="zh-CN"/>
        </w:rPr>
        <w:t>）</w:t>
      </w:r>
    </w:p>
    <w:p>
      <w:pPr>
        <w:spacing w:line="440" w:lineRule="exact"/>
        <w:ind w:firstLine="420" w:firstLineChars="200"/>
        <w:rPr>
          <w:rFonts w:hint="default" w:ascii="Times New Roman" w:hAnsi="Times New Roman" w:cs="Times New Roman"/>
          <w:bCs/>
          <w:color w:val="auto"/>
          <w:szCs w:val="21"/>
        </w:rPr>
      </w:pPr>
      <w:r>
        <w:rPr>
          <w:rFonts w:hint="default" w:ascii="Times New Roman" w:hAnsi="Times New Roman" w:cs="Times New Roman"/>
          <w:bCs/>
          <w:color w:val="auto"/>
          <w:szCs w:val="21"/>
        </w:rPr>
        <w:t>GB/T 2440-2017 尿素</w:t>
      </w:r>
    </w:p>
    <w:p>
      <w:pPr>
        <w:spacing w:line="440" w:lineRule="exact"/>
        <w:ind w:firstLine="420" w:firstLineChars="200"/>
        <w:rPr>
          <w:rFonts w:hint="default" w:ascii="Times New Roman" w:hAnsi="Times New Roman" w:cs="Times New Roman"/>
          <w:bCs/>
          <w:color w:val="auto"/>
          <w:szCs w:val="21"/>
        </w:rPr>
      </w:pPr>
      <w:r>
        <w:rPr>
          <w:rFonts w:hint="default" w:ascii="Times New Roman" w:hAnsi="Times New Roman" w:cs="Times New Roman"/>
          <w:color w:val="auto"/>
          <w:kern w:val="0"/>
          <w:szCs w:val="21"/>
        </w:rPr>
        <w:t>GB/T 2946-2018</w:t>
      </w:r>
      <w:r>
        <w:rPr>
          <w:rFonts w:hint="default" w:ascii="Times New Roman" w:hAnsi="Times New Roman" w:cs="Times New Roman"/>
          <w:bCs/>
          <w:color w:val="auto"/>
          <w:szCs w:val="21"/>
        </w:rPr>
        <w:t xml:space="preserve"> 氯化铵</w:t>
      </w:r>
    </w:p>
    <w:p>
      <w:pPr>
        <w:spacing w:line="440" w:lineRule="exact"/>
        <w:ind w:firstLine="420" w:firstLineChars="200"/>
        <w:rPr>
          <w:rFonts w:hint="default" w:ascii="Times New Roman" w:hAnsi="Times New Roman" w:cs="Times New Roman"/>
          <w:bCs/>
          <w:color w:val="auto"/>
          <w:szCs w:val="21"/>
        </w:rPr>
      </w:pPr>
      <w:r>
        <w:rPr>
          <w:rFonts w:hint="default" w:ascii="Times New Roman" w:hAnsi="Times New Roman" w:cs="Times New Roman"/>
          <w:color w:val="auto"/>
          <w:kern w:val="0"/>
          <w:szCs w:val="21"/>
        </w:rPr>
        <w:t>GB/T 3559-2001</w:t>
      </w:r>
      <w:r>
        <w:rPr>
          <w:rFonts w:hint="default" w:ascii="Times New Roman" w:hAnsi="Times New Roman" w:cs="Times New Roman"/>
          <w:bCs/>
          <w:color w:val="auto"/>
          <w:szCs w:val="21"/>
        </w:rPr>
        <w:t>农业用碳酸氢铵</w:t>
      </w:r>
    </w:p>
    <w:p>
      <w:pPr>
        <w:spacing w:line="440" w:lineRule="exact"/>
        <w:ind w:firstLine="420" w:firstLineChars="200"/>
        <w:rPr>
          <w:rFonts w:hint="default" w:ascii="Times New Roman" w:hAnsi="Times New Roman" w:cs="Times New Roman"/>
          <w:bCs/>
          <w:strike/>
          <w:color w:val="auto"/>
          <w:szCs w:val="21"/>
        </w:rPr>
      </w:pPr>
      <w:r>
        <w:rPr>
          <w:rFonts w:hint="default" w:ascii="Times New Roman" w:hAnsi="Times New Roman" w:cs="Times New Roman"/>
          <w:color w:val="auto"/>
          <w:szCs w:val="21"/>
        </w:rPr>
        <w:t>现行有效的企业标准、团体标准、地方标准及产品明示质量要求</w:t>
      </w:r>
    </w:p>
    <w:p>
      <w:pPr>
        <w:snapToGrid w:val="0"/>
        <w:spacing w:line="440" w:lineRule="exact"/>
        <w:rPr>
          <w:color w:val="auto"/>
          <w:szCs w:val="21"/>
        </w:rPr>
      </w:pPr>
      <w:r>
        <w:rPr>
          <w:rFonts w:hint="default" w:ascii="Times New Roman" w:hAnsi="Times New Roman" w:cs="Times New Roman"/>
          <w:color w:val="auto"/>
          <w:szCs w:val="21"/>
        </w:rPr>
        <w:t>3.2判定原则</w:t>
      </w:r>
    </w:p>
    <w:p>
      <w:pPr>
        <w:snapToGrid w:val="0"/>
        <w:spacing w:line="440" w:lineRule="exact"/>
        <w:ind w:firstLine="417" w:firstLineChars="199"/>
        <w:rPr>
          <w:color w:val="auto"/>
          <w:szCs w:val="21"/>
        </w:rPr>
      </w:pPr>
      <w:r>
        <w:rPr>
          <w:color w:val="auto"/>
          <w:szCs w:val="21"/>
        </w:rPr>
        <w:t>经检验，检验项目全部合格，判定为被抽查产品所检项目未发现不合格</w:t>
      </w:r>
      <w:r>
        <w:rPr>
          <w:rFonts w:hint="eastAsia"/>
          <w:color w:val="auto"/>
          <w:szCs w:val="21"/>
        </w:rPr>
        <w:t>；检验项目中任一项或一项以上不合格，判定为被抽查产品不合格。</w:t>
      </w:r>
    </w:p>
    <w:p>
      <w:pPr>
        <w:snapToGrid w:val="0"/>
        <w:spacing w:line="440" w:lineRule="exact"/>
        <w:ind w:firstLine="417" w:firstLineChars="199"/>
        <w:rPr>
          <w:color w:val="auto"/>
          <w:szCs w:val="21"/>
        </w:rPr>
      </w:pPr>
      <w:r>
        <w:rPr>
          <w:rFonts w:hint="eastAsia"/>
          <w:color w:val="auto"/>
          <w:szCs w:val="21"/>
        </w:rPr>
        <w:t>若被检产品明示的质量要求高于本细则中检验项目依据的标准要求时，应按被检产品明示的质量要求判定。</w:t>
      </w:r>
    </w:p>
    <w:p>
      <w:pPr>
        <w:snapToGrid w:val="0"/>
        <w:spacing w:line="440" w:lineRule="exact"/>
        <w:ind w:firstLine="417" w:firstLineChars="199"/>
        <w:rPr>
          <w:color w:val="auto"/>
          <w:szCs w:val="21"/>
        </w:rPr>
      </w:pPr>
      <w:r>
        <w:rPr>
          <w:rFonts w:hint="eastAsia"/>
          <w:color w:val="auto"/>
          <w:szCs w:val="21"/>
        </w:rPr>
        <w:t>若被检产品明示的质量要求低于本细则中检验项目依据的强制性标准要求时，应按照强制性标准要求判定。</w:t>
      </w:r>
    </w:p>
    <w:p>
      <w:pPr>
        <w:snapToGrid w:val="0"/>
        <w:spacing w:line="440" w:lineRule="exact"/>
        <w:ind w:firstLine="417" w:firstLineChars="199"/>
        <w:rPr>
          <w:color w:val="auto"/>
          <w:szCs w:val="21"/>
        </w:rPr>
      </w:pPr>
      <w:r>
        <w:rPr>
          <w:rFonts w:hint="eastAsia"/>
          <w:color w:val="auto"/>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color w:val="auto"/>
          <w:szCs w:val="21"/>
        </w:rPr>
      </w:pPr>
      <w:r>
        <w:rPr>
          <w:rFonts w:hint="eastAsia"/>
          <w:color w:val="auto"/>
          <w:szCs w:val="21"/>
        </w:rPr>
        <w:t>若被检产品明示的质量要求缺少本细则中检验项目依据的强制性标准要求时，应按照强制性标准要求判定。</w:t>
      </w:r>
    </w:p>
    <w:p>
      <w:pPr>
        <w:snapToGrid w:val="0"/>
        <w:spacing w:line="440" w:lineRule="exact"/>
        <w:ind w:firstLine="417" w:firstLineChars="199"/>
        <w:rPr>
          <w:rFonts w:hint="eastAsia"/>
          <w:color w:val="auto"/>
          <w:szCs w:val="21"/>
        </w:rPr>
      </w:pPr>
      <w:r>
        <w:rPr>
          <w:rFonts w:hint="eastAsia"/>
          <w:color w:val="auto"/>
          <w:szCs w:val="21"/>
        </w:rPr>
        <w:t>若被检产品明示的质量要求缺少本细则中检验项目依据的推荐性标准要求时，该项目不参与判定。</w:t>
      </w:r>
    </w:p>
    <w:p>
      <w:pPr>
        <w:snapToGrid w:val="0"/>
        <w:spacing w:line="440" w:lineRule="exact"/>
        <w:ind w:firstLine="417" w:firstLineChars="199"/>
        <w:rPr>
          <w:rFonts w:hint="eastAsia"/>
          <w:color w:val="auto"/>
          <w:szCs w:val="21"/>
        </w:rPr>
      </w:pPr>
    </w:p>
    <w:p>
      <w:pPr>
        <w:spacing w:line="440" w:lineRule="exact"/>
        <w:rPr>
          <w:rFonts w:hint="default" w:ascii="Times New Roman" w:hAnsi="Times New Roman" w:eastAsia="黑体" w:cs="Times New Roman"/>
          <w:color w:val="auto"/>
          <w:szCs w:val="21"/>
        </w:rPr>
      </w:pPr>
      <w:r>
        <w:rPr>
          <w:rFonts w:hint="default" w:ascii="Times New Roman" w:hAnsi="Times New Roman" w:eastAsia="黑体" w:cs="Times New Roman"/>
          <w:color w:val="auto"/>
          <w:szCs w:val="21"/>
        </w:rPr>
        <w:t>4 附则</w:t>
      </w:r>
    </w:p>
    <w:p>
      <w:pPr>
        <w:snapToGrid w:val="0"/>
        <w:spacing w:line="440" w:lineRule="exact"/>
        <w:ind w:firstLine="420" w:firstLineChars="200"/>
        <w:rPr>
          <w:rFonts w:hint="eastAsia" w:ascii="黑体" w:hAnsi="黑体" w:eastAsia="黑体"/>
          <w:color w:val="auto"/>
          <w:szCs w:val="21"/>
        </w:rPr>
      </w:pPr>
      <w:r>
        <w:rPr>
          <w:rFonts w:hint="default" w:ascii="Times New Roman" w:hAnsi="Times New Roman" w:cs="Times New Roman"/>
          <w:color w:val="000000" w:themeColor="text1"/>
          <w:lang w:eastAsia="zh-CN"/>
          <w14:textFill>
            <w14:solidFill>
              <w14:schemeClr w14:val="tx1"/>
            </w14:solidFill>
          </w14:textFill>
        </w:rPr>
        <w:t>本细则代替《贵州省市场</w:t>
      </w:r>
      <w:r>
        <w:rPr>
          <w:rFonts w:hint="eastAsia" w:cs="Times New Roman"/>
          <w:color w:val="000000" w:themeColor="text1"/>
          <w:lang w:val="en-US" w:eastAsia="zh-CN"/>
          <w14:textFill>
            <w14:solidFill>
              <w14:schemeClr w14:val="tx1"/>
            </w14:solidFill>
          </w14:textFill>
        </w:rPr>
        <w:t>监督管理局</w:t>
      </w:r>
      <w:r>
        <w:rPr>
          <w:rFonts w:hint="default" w:ascii="Times New Roman" w:hAnsi="Times New Roman" w:cs="Times New Roman"/>
          <w:color w:val="000000" w:themeColor="text1"/>
          <w:lang w:eastAsia="zh-CN"/>
          <w14:textFill>
            <w14:solidFill>
              <w14:schemeClr w14:val="tx1"/>
            </w14:solidFill>
          </w14:textFill>
        </w:rPr>
        <w:t>关于发布</w:t>
      </w:r>
      <w:r>
        <w:rPr>
          <w:rFonts w:hint="eastAsia" w:cs="Times New Roman"/>
          <w:color w:val="000000" w:themeColor="text1"/>
          <w:lang w:val="en-US" w:eastAsia="zh-CN"/>
          <w14:textFill>
            <w14:solidFill>
              <w14:schemeClr w14:val="tx1"/>
            </w14:solidFill>
          </w14:textFill>
        </w:rPr>
        <w:t>贵州省</w:t>
      </w:r>
      <w:r>
        <w:rPr>
          <w:rFonts w:hint="default" w:ascii="Times New Roman" w:hAnsi="Times New Roman" w:cs="Times New Roman"/>
          <w:color w:val="000000" w:themeColor="text1"/>
          <w:lang w:eastAsia="zh-CN"/>
          <w14:textFill>
            <w14:solidFill>
              <w14:schemeClr w14:val="tx1"/>
            </w14:solidFill>
          </w14:textFill>
        </w:rPr>
        <w:t>202</w:t>
      </w:r>
      <w:r>
        <w:rPr>
          <w:rFonts w:hint="eastAsia" w:cs="Times New Roman"/>
          <w:color w:val="000000" w:themeColor="text1"/>
          <w:lang w:val="en-US" w:eastAsia="zh-CN"/>
          <w14:textFill>
            <w14:solidFill>
              <w14:schemeClr w14:val="tx1"/>
            </w14:solidFill>
          </w14:textFill>
        </w:rPr>
        <w:t>5</w:t>
      </w:r>
      <w:r>
        <w:rPr>
          <w:rFonts w:hint="default" w:ascii="Times New Roman" w:hAnsi="Times New Roman" w:cs="Times New Roman"/>
          <w:color w:val="000000" w:themeColor="text1"/>
          <w:lang w:eastAsia="zh-CN"/>
          <w14:textFill>
            <w14:solidFill>
              <w14:schemeClr w14:val="tx1"/>
            </w14:solidFill>
          </w14:textFill>
        </w:rPr>
        <w:t>年版</w:t>
      </w:r>
      <w:r>
        <w:rPr>
          <w:rFonts w:hint="eastAsia" w:cs="Times New Roman"/>
          <w:color w:val="000000" w:themeColor="text1"/>
          <w:lang w:val="en-US" w:eastAsia="zh-CN"/>
          <w14:textFill>
            <w14:solidFill>
              <w14:schemeClr w14:val="tx1"/>
            </w14:solidFill>
          </w14:textFill>
        </w:rPr>
        <w:t>安抚奶嘴</w:t>
      </w:r>
      <w:r>
        <w:rPr>
          <w:rFonts w:hint="default" w:ascii="Times New Roman" w:hAnsi="Times New Roman" w:cs="Times New Roman"/>
          <w:color w:val="000000" w:themeColor="text1"/>
          <w:lang w:eastAsia="zh-CN"/>
          <w14:textFill>
            <w14:solidFill>
              <w14:schemeClr w14:val="tx1"/>
            </w14:solidFill>
          </w14:textFill>
        </w:rPr>
        <w:t>等1</w:t>
      </w:r>
      <w:r>
        <w:rPr>
          <w:rFonts w:hint="eastAsia" w:cs="Times New Roman"/>
          <w:color w:val="000000" w:themeColor="text1"/>
          <w:lang w:val="en-US" w:eastAsia="zh-CN"/>
          <w14:textFill>
            <w14:solidFill>
              <w14:schemeClr w14:val="tx1"/>
            </w14:solidFill>
          </w14:textFill>
        </w:rPr>
        <w:t>86</w:t>
      </w:r>
      <w:r>
        <w:rPr>
          <w:rFonts w:hint="default" w:ascii="Times New Roman" w:hAnsi="Times New Roman" w:cs="Times New Roman"/>
          <w:color w:val="000000" w:themeColor="text1"/>
          <w:lang w:eastAsia="zh-CN"/>
          <w14:textFill>
            <w14:solidFill>
              <w14:schemeClr w14:val="tx1"/>
            </w14:solidFill>
          </w14:textFill>
        </w:rPr>
        <w:t>种产品质量监督抽查实施细则的</w:t>
      </w:r>
      <w:r>
        <w:rPr>
          <w:rFonts w:hint="eastAsia" w:cs="Times New Roman"/>
          <w:color w:val="000000" w:themeColor="text1"/>
          <w:lang w:val="en-US" w:eastAsia="zh-CN"/>
          <w14:textFill>
            <w14:solidFill>
              <w14:schemeClr w14:val="tx1"/>
            </w14:solidFill>
          </w14:textFill>
        </w:rPr>
        <w:t>通</w:t>
      </w:r>
      <w:r>
        <w:rPr>
          <w:rFonts w:hint="default" w:ascii="Times New Roman" w:hAnsi="Times New Roman" w:cs="Times New Roman"/>
          <w:color w:val="000000" w:themeColor="text1"/>
          <w:lang w:eastAsia="zh-CN"/>
          <w14:textFill>
            <w14:solidFill>
              <w14:schemeClr w14:val="tx1"/>
            </w14:solidFill>
          </w14:textFill>
        </w:rPr>
        <w:t>告》中的</w:t>
      </w:r>
      <w:r>
        <w:rPr>
          <w:rFonts w:hint="default" w:ascii="Times New Roman" w:hAnsi="Times New Roman" w:cs="Times New Roman"/>
          <w:color w:val="000000" w:themeColor="text1"/>
          <w14:textFill>
            <w14:solidFill>
              <w14:schemeClr w14:val="tx1"/>
            </w14:solidFill>
          </w14:textFill>
        </w:rPr>
        <w:t>《贵州省</w:t>
      </w:r>
      <w:r>
        <w:rPr>
          <w:rFonts w:hint="eastAsia" w:ascii="宋体" w:hAnsi="宋体" w:eastAsia="宋体" w:cs="宋体"/>
          <w:color w:val="000000"/>
          <w:sz w:val="21"/>
          <w:szCs w:val="21"/>
          <w:lang w:val="en-US" w:eastAsia="zh-CN"/>
        </w:rPr>
        <w:t>氮肥</w:t>
      </w:r>
      <w:r>
        <w:rPr>
          <w:rFonts w:hint="default" w:ascii="Times New Roman" w:hAnsi="Times New Roman" w:cs="Times New Roman"/>
          <w:color w:val="000000" w:themeColor="text1"/>
          <w14:textFill>
            <w14:solidFill>
              <w14:schemeClr w14:val="tx1"/>
            </w14:solidFill>
          </w14:textFill>
        </w:rPr>
        <w:t>产品质量监督抽查实施细则（202</w:t>
      </w:r>
      <w:r>
        <w:rPr>
          <w:rFonts w:hint="eastAsia" w:cs="Times New Roman"/>
          <w:color w:val="000000" w:themeColor="text1"/>
          <w:lang w:val="en-US" w:eastAsia="zh-CN"/>
          <w14:textFill>
            <w14:solidFill>
              <w14:schemeClr w14:val="tx1"/>
            </w14:solidFill>
          </w14:textFill>
        </w:rPr>
        <w:t>5</w:t>
      </w:r>
      <w:r>
        <w:rPr>
          <w:rFonts w:hint="default" w:ascii="Times New Roman" w:hAnsi="Times New Roman" w:cs="Times New Roman"/>
          <w:color w:val="000000" w:themeColor="text1"/>
          <w14:textFill>
            <w14:solidFill>
              <w14:schemeClr w14:val="tx1"/>
            </w14:solidFill>
          </w14:textFill>
        </w:rPr>
        <w:t>年版）》。</w:t>
      </w:r>
    </w:p>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华文中宋"/>
    <w:panose1 w:val="02010600030101010101"/>
    <w:charset w:val="86"/>
    <w:family w:val="auto"/>
    <w:pitch w:val="default"/>
    <w:sig w:usb0="00000000" w:usb1="00000000" w:usb2="00000016" w:usb3="00000000" w:csb0="0004000F" w:csb1="00000000"/>
  </w:font>
  <w:font w:name="方正小标宋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仿宋简体">
    <w:panose1 w:val="03000509000000000000"/>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 PAGE   \* MERGEFORMAT </w:instrText>
    </w:r>
    <w:r>
      <w:fldChar w:fldCharType="separate"/>
    </w:r>
    <w:r>
      <w:rPr>
        <w:lang w:val="en-US"/>
      </w:rPr>
      <w:t>4</w:t>
    </w:r>
    <w:r>
      <w:fldChar w:fldCharType="end"/>
    </w:r>
  </w:p>
  <w:p>
    <w:pPr>
      <w:pStyle w:val="4"/>
      <w:ind w:right="360"/>
    </w:pPr>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pPr>
      <w:pStyle w:val="4"/>
      <w:ind w:right="360"/>
    </w:pPr>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503010"/>
    <w:multiLevelType w:val="multilevel"/>
    <w:tmpl w:val="34503010"/>
    <w:lvl w:ilvl="0" w:tentative="0">
      <w:start w:val="1"/>
      <w:numFmt w:val="decimal"/>
      <w:suff w:val="nothing"/>
      <w:lvlText w:val="%1"/>
      <w:lvlJc w:val="left"/>
      <w:pPr>
        <w:ind w:left="0" w:firstLine="0"/>
      </w:pPr>
      <w:rPr>
        <w:rFonts w:hint="eastAsia"/>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5605519"/>
    <w:multiLevelType w:val="multilevel"/>
    <w:tmpl w:val="65605519"/>
    <w:lvl w:ilvl="0" w:tentative="0">
      <w:start w:val="1"/>
      <w:numFmt w:val="decimal"/>
      <w:suff w:val="nothing"/>
      <w:lvlText w:val="%1"/>
      <w:lvlJc w:val="left"/>
      <w:pPr>
        <w:ind w:left="0" w:firstLine="0"/>
      </w:pPr>
      <w:rPr>
        <w:rFonts w:hint="eastAsia"/>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59C3213"/>
    <w:multiLevelType w:val="multilevel"/>
    <w:tmpl w:val="759C3213"/>
    <w:lvl w:ilvl="0" w:tentative="0">
      <w:start w:val="1"/>
      <w:numFmt w:val="decimal"/>
      <w:suff w:val="nothing"/>
      <w:lvlText w:val="%1"/>
      <w:lvlJc w:val="left"/>
      <w:pPr>
        <w:ind w:left="0" w:firstLine="0"/>
      </w:pPr>
      <w:rPr>
        <w:rFonts w:hint="eastAsia"/>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FiZmM4MTM5MmJlM2EyMDJmZmViNTJiYzBhZGZiMjcifQ=="/>
  </w:docVars>
  <w:rsids>
    <w:rsidRoot w:val="00D72CF4"/>
    <w:rsid w:val="00017556"/>
    <w:rsid w:val="00032F12"/>
    <w:rsid w:val="00081C66"/>
    <w:rsid w:val="000A13F2"/>
    <w:rsid w:val="000A2551"/>
    <w:rsid w:val="000A6B33"/>
    <w:rsid w:val="000B7FDB"/>
    <w:rsid w:val="000F3245"/>
    <w:rsid w:val="00113709"/>
    <w:rsid w:val="001166F6"/>
    <w:rsid w:val="00117110"/>
    <w:rsid w:val="00126C68"/>
    <w:rsid w:val="00130DDB"/>
    <w:rsid w:val="001B02CC"/>
    <w:rsid w:val="001C3442"/>
    <w:rsid w:val="001D09FC"/>
    <w:rsid w:val="00236AC1"/>
    <w:rsid w:val="00245832"/>
    <w:rsid w:val="002C7811"/>
    <w:rsid w:val="002D6692"/>
    <w:rsid w:val="002E1860"/>
    <w:rsid w:val="002E19A9"/>
    <w:rsid w:val="003416E6"/>
    <w:rsid w:val="00350BE2"/>
    <w:rsid w:val="00376B9B"/>
    <w:rsid w:val="003852CF"/>
    <w:rsid w:val="0041463F"/>
    <w:rsid w:val="00434A26"/>
    <w:rsid w:val="00440D39"/>
    <w:rsid w:val="00443998"/>
    <w:rsid w:val="00456781"/>
    <w:rsid w:val="004A7913"/>
    <w:rsid w:val="004E5009"/>
    <w:rsid w:val="004E60AF"/>
    <w:rsid w:val="004F7B8B"/>
    <w:rsid w:val="005049FA"/>
    <w:rsid w:val="005071CF"/>
    <w:rsid w:val="00577E12"/>
    <w:rsid w:val="005815DF"/>
    <w:rsid w:val="005C30AE"/>
    <w:rsid w:val="005E40FA"/>
    <w:rsid w:val="005F0F9A"/>
    <w:rsid w:val="00611571"/>
    <w:rsid w:val="006178A9"/>
    <w:rsid w:val="00622447"/>
    <w:rsid w:val="00637382"/>
    <w:rsid w:val="00673684"/>
    <w:rsid w:val="00673CF5"/>
    <w:rsid w:val="006A53D6"/>
    <w:rsid w:val="006B20BF"/>
    <w:rsid w:val="006B6CAC"/>
    <w:rsid w:val="006C287C"/>
    <w:rsid w:val="006D0822"/>
    <w:rsid w:val="006E06E1"/>
    <w:rsid w:val="00731D08"/>
    <w:rsid w:val="007E2B85"/>
    <w:rsid w:val="007F0C8D"/>
    <w:rsid w:val="007F1C15"/>
    <w:rsid w:val="007F1EE3"/>
    <w:rsid w:val="007F5509"/>
    <w:rsid w:val="00807C54"/>
    <w:rsid w:val="00815C3B"/>
    <w:rsid w:val="008358A7"/>
    <w:rsid w:val="00840353"/>
    <w:rsid w:val="008661FA"/>
    <w:rsid w:val="008856D1"/>
    <w:rsid w:val="008C103E"/>
    <w:rsid w:val="008F38D9"/>
    <w:rsid w:val="00900FB5"/>
    <w:rsid w:val="009163D3"/>
    <w:rsid w:val="00933FE2"/>
    <w:rsid w:val="009615B3"/>
    <w:rsid w:val="00963073"/>
    <w:rsid w:val="00972E74"/>
    <w:rsid w:val="00996B6A"/>
    <w:rsid w:val="009D752A"/>
    <w:rsid w:val="009F7BA2"/>
    <w:rsid w:val="00A123D3"/>
    <w:rsid w:val="00A40AF5"/>
    <w:rsid w:val="00A4781A"/>
    <w:rsid w:val="00A66AB8"/>
    <w:rsid w:val="00A740D4"/>
    <w:rsid w:val="00A8485E"/>
    <w:rsid w:val="00A94910"/>
    <w:rsid w:val="00AA7703"/>
    <w:rsid w:val="00B13924"/>
    <w:rsid w:val="00B329B1"/>
    <w:rsid w:val="00B44A7F"/>
    <w:rsid w:val="00B50E31"/>
    <w:rsid w:val="00B74731"/>
    <w:rsid w:val="00BA5C64"/>
    <w:rsid w:val="00BC65BC"/>
    <w:rsid w:val="00BD475B"/>
    <w:rsid w:val="00C31E06"/>
    <w:rsid w:val="00C507F0"/>
    <w:rsid w:val="00C80726"/>
    <w:rsid w:val="00C82207"/>
    <w:rsid w:val="00D3326C"/>
    <w:rsid w:val="00D47AF2"/>
    <w:rsid w:val="00D72CF4"/>
    <w:rsid w:val="00D91055"/>
    <w:rsid w:val="00D9240E"/>
    <w:rsid w:val="00DC322A"/>
    <w:rsid w:val="00DF03EC"/>
    <w:rsid w:val="00E3095F"/>
    <w:rsid w:val="00E6689B"/>
    <w:rsid w:val="00EA0E95"/>
    <w:rsid w:val="00EA1F7A"/>
    <w:rsid w:val="00EC21F2"/>
    <w:rsid w:val="00ED1C63"/>
    <w:rsid w:val="00EE0CA1"/>
    <w:rsid w:val="00EE7E14"/>
    <w:rsid w:val="00EF1B7C"/>
    <w:rsid w:val="00F27467"/>
    <w:rsid w:val="00F90579"/>
    <w:rsid w:val="00F922C9"/>
    <w:rsid w:val="00FA2E17"/>
    <w:rsid w:val="00FA43F7"/>
    <w:rsid w:val="00FC7CC0"/>
    <w:rsid w:val="010A5A0B"/>
    <w:rsid w:val="0390170A"/>
    <w:rsid w:val="06EB2D6C"/>
    <w:rsid w:val="07744402"/>
    <w:rsid w:val="07DA4F14"/>
    <w:rsid w:val="099A2A61"/>
    <w:rsid w:val="0AEF2FA6"/>
    <w:rsid w:val="0EBA5585"/>
    <w:rsid w:val="0F5A1850"/>
    <w:rsid w:val="1548590A"/>
    <w:rsid w:val="1F772A2F"/>
    <w:rsid w:val="223E5AB0"/>
    <w:rsid w:val="23692860"/>
    <w:rsid w:val="26A0468C"/>
    <w:rsid w:val="283E417A"/>
    <w:rsid w:val="29EE5791"/>
    <w:rsid w:val="315C300C"/>
    <w:rsid w:val="36845FB9"/>
    <w:rsid w:val="389A047B"/>
    <w:rsid w:val="395958BA"/>
    <w:rsid w:val="3F3E3990"/>
    <w:rsid w:val="3F7ED333"/>
    <w:rsid w:val="50E21514"/>
    <w:rsid w:val="57095FF9"/>
    <w:rsid w:val="57B5CC49"/>
    <w:rsid w:val="59A20E1D"/>
    <w:rsid w:val="60D94C19"/>
    <w:rsid w:val="62A0195F"/>
    <w:rsid w:val="68AB457B"/>
    <w:rsid w:val="6C7D4B2E"/>
    <w:rsid w:val="6E0742AE"/>
    <w:rsid w:val="72AA3D75"/>
    <w:rsid w:val="72BA73F8"/>
    <w:rsid w:val="74E5745E"/>
    <w:rsid w:val="760A34A2"/>
    <w:rsid w:val="79EC57F9"/>
    <w:rsid w:val="7AA519A1"/>
    <w:rsid w:val="7AF792DF"/>
    <w:rsid w:val="7B1D1915"/>
    <w:rsid w:val="7B960FA6"/>
    <w:rsid w:val="7FD07F14"/>
    <w:rsid w:val="7FF735A5"/>
    <w:rsid w:val="8C7609AD"/>
    <w:rsid w:val="8FCD3F9E"/>
    <w:rsid w:val="AFD73B6C"/>
    <w:rsid w:val="B3FD0704"/>
    <w:rsid w:val="BFF71B2B"/>
    <w:rsid w:val="EBE557A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Balloon Text"/>
    <w:basedOn w:val="1"/>
    <w:link w:val="20"/>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sz w:val="18"/>
      <w:szCs w:val="18"/>
      <w:lang w:val="zh-CN"/>
    </w:rPr>
  </w:style>
  <w:style w:type="paragraph" w:styleId="5">
    <w:name w:val="header"/>
    <w:basedOn w:val="1"/>
    <w:link w:val="16"/>
    <w:unhideWhenUsed/>
    <w:qFormat/>
    <w:uiPriority w:val="99"/>
    <w:pPr>
      <w:pBdr>
        <w:bottom w:val="single" w:color="auto" w:sz="6" w:space="1"/>
      </w:pBdr>
      <w:tabs>
        <w:tab w:val="center" w:pos="4153"/>
        <w:tab w:val="right" w:pos="8306"/>
      </w:tabs>
      <w:snapToGrid w:val="0"/>
      <w:jc w:val="center"/>
    </w:pPr>
    <w:rPr>
      <w:sz w:val="18"/>
      <w:szCs w:val="18"/>
      <w:lang w:val="zh-CN"/>
    </w:rPr>
  </w:style>
  <w:style w:type="paragraph" w:styleId="6">
    <w:name w:val="Normal (Web)"/>
    <w:basedOn w:val="1"/>
    <w:unhideWhenUsed/>
    <w:qFormat/>
    <w:uiPriority w:val="0"/>
    <w:pPr>
      <w:spacing w:before="100" w:beforeAutospacing="1" w:after="100" w:afterAutospacing="1"/>
      <w:jc w:val="left"/>
    </w:pPr>
    <w:rPr>
      <w:rFonts w:ascii="Calibri" w:hAnsi="Calibri"/>
      <w:kern w:val="0"/>
      <w:sz w:val="24"/>
      <w:szCs w:val="22"/>
    </w:rPr>
  </w:style>
  <w:style w:type="paragraph" w:styleId="7">
    <w:name w:val="annotation subject"/>
    <w:basedOn w:val="2"/>
    <w:next w:val="2"/>
    <w:link w:val="19"/>
    <w:semiHidden/>
    <w:unhideWhenUsed/>
    <w:qFormat/>
    <w:uiPriority w:val="99"/>
    <w:rPr>
      <w:b/>
      <w:bCs/>
    </w:rPr>
  </w:style>
  <w:style w:type="table" w:styleId="9">
    <w:name w:val="Table Theme"/>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qFormat/>
    <w:uiPriority w:val="0"/>
  </w:style>
  <w:style w:type="character" w:styleId="12">
    <w:name w:val="annotation reference"/>
    <w:basedOn w:val="10"/>
    <w:semiHidden/>
    <w:unhideWhenUsed/>
    <w:qFormat/>
    <w:uiPriority w:val="99"/>
    <w:rPr>
      <w:sz w:val="21"/>
      <w:szCs w:val="21"/>
    </w:rPr>
  </w:style>
  <w:style w:type="character" w:customStyle="1" w:styleId="13">
    <w:name w:val="页脚 字符"/>
    <w:basedOn w:val="10"/>
    <w:semiHidden/>
    <w:qFormat/>
    <w:uiPriority w:val="99"/>
    <w:rPr>
      <w:rFonts w:ascii="Times New Roman" w:hAnsi="Times New Roman" w:eastAsia="宋体" w:cs="Times New Roman"/>
      <w:sz w:val="18"/>
      <w:szCs w:val="18"/>
    </w:rPr>
  </w:style>
  <w:style w:type="character" w:customStyle="1" w:styleId="14">
    <w:name w:val="页脚 字符1"/>
    <w:link w:val="4"/>
    <w:qFormat/>
    <w:uiPriority w:val="99"/>
    <w:rPr>
      <w:rFonts w:ascii="Times New Roman" w:hAnsi="Times New Roman" w:eastAsia="宋体" w:cs="Times New Roman"/>
      <w:sz w:val="18"/>
      <w:szCs w:val="18"/>
      <w:lang w:val="zh-CN" w:eastAsia="zh-CN"/>
    </w:rPr>
  </w:style>
  <w:style w:type="character" w:customStyle="1" w:styleId="15">
    <w:name w:val="页眉 字符"/>
    <w:basedOn w:val="10"/>
    <w:semiHidden/>
    <w:qFormat/>
    <w:uiPriority w:val="99"/>
    <w:rPr>
      <w:rFonts w:ascii="Times New Roman" w:hAnsi="Times New Roman" w:eastAsia="宋体" w:cs="Times New Roman"/>
      <w:sz w:val="18"/>
      <w:szCs w:val="18"/>
    </w:rPr>
  </w:style>
  <w:style w:type="character" w:customStyle="1" w:styleId="16">
    <w:name w:val="页眉 字符1"/>
    <w:link w:val="5"/>
    <w:qFormat/>
    <w:uiPriority w:val="99"/>
    <w:rPr>
      <w:rFonts w:ascii="Times New Roman" w:hAnsi="Times New Roman" w:eastAsia="宋体" w:cs="Times New Roman"/>
      <w:sz w:val="18"/>
      <w:szCs w:val="18"/>
      <w:lang w:val="zh-CN" w:eastAsia="zh-CN"/>
    </w:rPr>
  </w:style>
  <w:style w:type="paragraph" w:styleId="17">
    <w:name w:val="List Paragraph"/>
    <w:basedOn w:val="1"/>
    <w:qFormat/>
    <w:uiPriority w:val="34"/>
    <w:pPr>
      <w:ind w:firstLine="420" w:firstLineChars="200"/>
    </w:pPr>
    <w:rPr>
      <w:rFonts w:ascii="等线" w:hAnsi="等线" w:eastAsia="等线"/>
      <w:szCs w:val="22"/>
    </w:rPr>
  </w:style>
  <w:style w:type="character" w:customStyle="1" w:styleId="18">
    <w:name w:val="批注文字 字符"/>
    <w:basedOn w:val="10"/>
    <w:link w:val="2"/>
    <w:semiHidden/>
    <w:qFormat/>
    <w:uiPriority w:val="99"/>
    <w:rPr>
      <w:rFonts w:ascii="Times New Roman" w:hAnsi="Times New Roman" w:eastAsia="宋体" w:cs="Times New Roman"/>
      <w:kern w:val="2"/>
      <w:sz w:val="21"/>
      <w:szCs w:val="24"/>
    </w:rPr>
  </w:style>
  <w:style w:type="character" w:customStyle="1" w:styleId="19">
    <w:name w:val="批注主题 字符"/>
    <w:basedOn w:val="18"/>
    <w:link w:val="7"/>
    <w:semiHidden/>
    <w:qFormat/>
    <w:uiPriority w:val="99"/>
    <w:rPr>
      <w:rFonts w:ascii="Times New Roman" w:hAnsi="Times New Roman" w:eastAsia="宋体" w:cs="Times New Roman"/>
      <w:b/>
      <w:bCs/>
      <w:kern w:val="2"/>
      <w:sz w:val="21"/>
      <w:szCs w:val="24"/>
    </w:rPr>
  </w:style>
  <w:style w:type="character" w:customStyle="1" w:styleId="20">
    <w:name w:val="批注框文本 字符"/>
    <w:basedOn w:val="10"/>
    <w:link w:val="3"/>
    <w:semiHidden/>
    <w:qFormat/>
    <w:uiPriority w:val="99"/>
    <w:rPr>
      <w:rFonts w:ascii="Times New Roman" w:hAnsi="Times New Roman" w:eastAsia="宋体" w:cs="Times New Roman"/>
      <w:kern w:val="2"/>
      <w:sz w:val="18"/>
      <w:szCs w:val="18"/>
    </w:rPr>
  </w:style>
  <w:style w:type="paragraph" w:customStyle="1" w:styleId="21">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4</Pages>
  <Words>1368</Words>
  <Characters>2193</Characters>
  <Lines>17</Lines>
  <Paragraphs>5</Paragraphs>
  <TotalTime>21</TotalTime>
  <ScaleCrop>false</ScaleCrop>
  <LinksUpToDate>false</LinksUpToDate>
  <CharactersWithSpaces>2295</CharactersWithSpaces>
  <Application>WPS Office_11.8.2.10624_F1E327BC-269C-435d-A152-05C5408002CA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2022-05-14T22:53:00Z</dcterms:created>
  <dc:creator>Admin</dc:creator>
  <cp:lastModifiedBy>ysgz</cp:lastModifiedBy>
  <dcterms:modified xsi:type="dcterms:W3CDTF">2026-04-20T16:57:57Z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2052-11.8.2.10624</vt:lpwstr>
  </property>
  <property fmtid="{D5CDD505-2E9C-101B-9397-08002B2CF9AE}" pid="3" name="ICV">
    <vt:lpwstr>4C02A072DFD14D24A9CF3803262C679B_13</vt:lpwstr>
  </property>
  <property fmtid="{D5CDD505-2E9C-101B-9397-08002B2CF9AE}" pid="4" name="KSOTemplateDocerSaveRecord">
    <vt:lpwstr>eyJoZGlkIjoiMDYwZjMyZWYzMmNmMzY4MzkwYmQ0NTJiMTg4YjkxMzIiLCJ1c2VySWQiOiI0MjUxMDQ1MjMifQ==</vt:lpwstr>
  </property>
</Properties>
</file>